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6AFE9" w14:textId="089615B3" w:rsidR="005F07A2" w:rsidRPr="00A80D3B" w:rsidRDefault="005F07A2" w:rsidP="005F07A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08054F" w:rsidRPr="00A80D3B">
        <w:rPr>
          <w:rFonts w:ascii="Arial" w:hAnsi="Arial" w:cs="Arial"/>
          <w:b/>
          <w:bCs/>
          <w:sz w:val="28"/>
        </w:rPr>
        <w:t>2</w:t>
      </w:r>
      <w:r w:rsidR="0008054F">
        <w:rPr>
          <w:rFonts w:ascii="Arial" w:hAnsi="Arial" w:cs="Arial"/>
          <w:b/>
          <w:bCs/>
          <w:sz w:val="28"/>
        </w:rPr>
        <w:t>211616</w:t>
      </w:r>
    </w:p>
    <w:p w14:paraId="140F88EB" w14:textId="7F4D99C5" w:rsidR="007E6DDB" w:rsidRPr="00B40CFC" w:rsidRDefault="005F07A2" w:rsidP="00B74A1C">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270A81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B74A1C">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0CB2170"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F8635A">
        <w:rPr>
          <w:b/>
          <w:bCs/>
          <w:iCs/>
        </w:rPr>
        <w:t>Discussion</w:t>
      </w:r>
      <w:r w:rsidR="00F8635A" w:rsidRPr="00B74A1C">
        <w:rPr>
          <w:b/>
          <w:bCs/>
          <w:iCs/>
        </w:rPr>
        <w:t xml:space="preserve"> </w:t>
      </w:r>
      <w:r w:rsidR="00B74A1C" w:rsidRPr="00B74A1C">
        <w:rPr>
          <w:b/>
          <w:bCs/>
          <w:iCs/>
        </w:rPr>
        <w:t>on potential solutions for SL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422FF475" w14:textId="398A81CA" w:rsidR="00855F39" w:rsidRDefault="002B51B2" w:rsidP="00727BBE">
      <w:pPr>
        <w:jc w:val="both"/>
        <w:rPr>
          <w:rFonts w:eastAsia="MS Mincho"/>
        </w:rPr>
      </w:pPr>
      <w:r>
        <w:rPr>
          <w:rFonts w:eastAsia="MS Mincho"/>
          <w:lang w:val="en-US"/>
        </w:rPr>
        <w:t xml:space="preserve">A new </w:t>
      </w:r>
      <w:r w:rsidR="00E14A40">
        <w:rPr>
          <w:rFonts w:eastAsia="MS Mincho"/>
          <w:lang w:val="en-US"/>
        </w:rPr>
        <w:t xml:space="preserve">release-18 </w:t>
      </w:r>
      <w:r>
        <w:rPr>
          <w:rFonts w:eastAsia="MS Mincho"/>
          <w:lang w:val="en-US"/>
        </w:rPr>
        <w:t xml:space="preserve">study item on </w:t>
      </w:r>
      <w:r w:rsidR="00E14A40">
        <w:rPr>
          <w:rFonts w:eastAsia="MS Mincho"/>
          <w:lang w:val="en-US"/>
        </w:rPr>
        <w:t>expanded and improved NR positioning was approved in RANP#94e meeting in December 2021</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17693B">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study item to develop sidelink positioning is related to the outcome of the previous study/</w:t>
      </w:r>
      <w:r w:rsidR="00700073" w:rsidRPr="49F2467F">
        <w:rPr>
          <w:rFonts w:eastAsia="MS Mincho"/>
          <w:lang w:val="en-US"/>
        </w:rPr>
        <w:t>report, the</w:t>
      </w:r>
      <w:r w:rsidR="00352BBA" w:rsidRPr="00352BBA">
        <w:rPr>
          <w:rFonts w:eastAsia="MS Mincho"/>
        </w:rPr>
        <w:t xml:space="preserve"> study on "Scenarios and requirements of in-coverage, partial coverage, and out-of-coverage NR positioning use cases" </w:t>
      </w:r>
      <w:r w:rsidR="00923A6B">
        <w:rPr>
          <w:rFonts w:eastAsia="MS Mincho"/>
        </w:rPr>
        <w:t xml:space="preserve">which </w:t>
      </w:r>
      <w:r w:rsidR="00352BBA" w:rsidRPr="00352BBA">
        <w:rPr>
          <w:rFonts w:eastAsia="MS Mincho"/>
        </w:rPr>
        <w:t>focussed on V2X and public safety use cases with the outcome being captured in TR</w:t>
      </w:r>
      <w:r w:rsidR="00923A6B">
        <w:rPr>
          <w:rFonts w:eastAsia="MS Mincho"/>
        </w:rPr>
        <w:t xml:space="preserve"> </w:t>
      </w:r>
      <w:r w:rsidR="00352BBA" w:rsidRPr="00352BBA">
        <w:rPr>
          <w:rFonts w:eastAsia="MS Mincho"/>
        </w:rPr>
        <w:t>38.845. Additionally, SA1 has developed requirements for "Ranging based services"</w:t>
      </w:r>
      <w:r w:rsidR="00F42B2C">
        <w:rPr>
          <w:rFonts w:eastAsia="MS Mincho"/>
        </w:rPr>
        <w:t xml:space="preserve"> </w:t>
      </w:r>
      <w:r w:rsidR="00F42B2C" w:rsidRPr="00352BBA">
        <w:rPr>
          <w:rFonts w:eastAsia="MS Mincho"/>
        </w:rPr>
        <w:t>in TS</w:t>
      </w:r>
      <w:r w:rsidR="00F42B2C">
        <w:rPr>
          <w:rFonts w:eastAsia="MS Mincho"/>
        </w:rPr>
        <w:t xml:space="preserve"> </w:t>
      </w:r>
      <w:r w:rsidR="00F42B2C" w:rsidRPr="00352BBA">
        <w:rPr>
          <w:rFonts w:eastAsia="MS Mincho"/>
        </w:rPr>
        <w:t>22.261</w:t>
      </w:r>
      <w:r w:rsidR="00352BBA" w:rsidRPr="00352BBA">
        <w:rPr>
          <w:rFonts w:eastAsia="MS Mincho"/>
        </w:rPr>
        <w:t>, and positioning accuracy requirements for IIoT uses cases in out-of-coverage scenarios</w:t>
      </w:r>
      <w:r w:rsidR="00F42B2C">
        <w:rPr>
          <w:rFonts w:eastAsia="MS Mincho"/>
        </w:rPr>
        <w:t xml:space="preserve"> </w:t>
      </w:r>
      <w:r w:rsidR="00F42B2C" w:rsidRPr="00352BBA">
        <w:rPr>
          <w:rFonts w:eastAsia="MS Mincho"/>
        </w:rPr>
        <w:t>in TS22.104</w:t>
      </w:r>
      <w:r w:rsidR="00352BBA" w:rsidRPr="00352BBA">
        <w:rPr>
          <w:rFonts w:eastAsia="MS Mincho"/>
        </w:rPr>
        <w:t>.</w:t>
      </w:r>
    </w:p>
    <w:p w14:paraId="374BC95A" w14:textId="0DF42CC8" w:rsidR="00F10DEA" w:rsidRDefault="00445CC6" w:rsidP="00727BBE">
      <w:pPr>
        <w:jc w:val="both"/>
        <w:rPr>
          <w:lang w:val="en-US" w:eastAsia="x-none"/>
        </w:rPr>
      </w:pPr>
      <w:r>
        <w:rPr>
          <w:rFonts w:eastAsia="MS Mincho"/>
        </w:rPr>
        <w:t xml:space="preserve">The particular objective related to the sidelink positioning in Rel-18 is given below </w:t>
      </w:r>
      <w:r>
        <w:rPr>
          <w:rFonts w:eastAsia="MS Mincho"/>
        </w:rPr>
        <w:fldChar w:fldCharType="begin"/>
      </w:r>
      <w:r>
        <w:rPr>
          <w:rFonts w:eastAsia="MS Mincho"/>
        </w:rPr>
        <w:instrText xml:space="preserve"> REF _Ref71022775 \r \h </w:instrText>
      </w:r>
      <w:r>
        <w:rPr>
          <w:rFonts w:eastAsia="MS Mincho"/>
        </w:rPr>
      </w:r>
      <w:r>
        <w:rPr>
          <w:rFonts w:eastAsia="MS Mincho"/>
        </w:rPr>
        <w:fldChar w:fldCharType="separate"/>
      </w:r>
      <w:r w:rsidR="0017693B">
        <w:rPr>
          <w:rFonts w:eastAsia="MS Mincho"/>
        </w:rPr>
        <w:t>[1]</w:t>
      </w:r>
      <w:r>
        <w:rPr>
          <w:rFonts w:eastAsia="MS Mincho"/>
        </w:rPr>
        <w:fldChar w:fldCharType="end"/>
      </w:r>
      <w:r>
        <w:rPr>
          <w:rFonts w:eastAsia="MS Mincho"/>
        </w:rPr>
        <w:t>:</w:t>
      </w:r>
    </w:p>
    <w:p w14:paraId="2D4D6AB6" w14:textId="77777777" w:rsidR="00AE0EB9" w:rsidRPr="00AB31E0" w:rsidRDefault="00AE0EB9">
      <w:pPr>
        <w:numPr>
          <w:ilvl w:val="0"/>
          <w:numId w:val="10"/>
        </w:numPr>
        <w:overflowPunct w:val="0"/>
        <w:autoSpaceDE w:val="0"/>
        <w:autoSpaceDN w:val="0"/>
        <w:adjustRightInd w:val="0"/>
        <w:spacing w:after="0"/>
        <w:textAlignment w:val="baseline"/>
        <w:rPr>
          <w:bCs/>
        </w:rPr>
      </w:pPr>
      <w:r w:rsidRPr="00AB31E0">
        <w:rPr>
          <w:bCs/>
        </w:rPr>
        <w:t xml:space="preserve">Study solutions for sidelink positioning considering the following: [RAN1, RAN2] </w:t>
      </w:r>
    </w:p>
    <w:p w14:paraId="0E03827D"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Scenario/requirements </w:t>
      </w:r>
    </w:p>
    <w:p w14:paraId="37B1BBFE" w14:textId="3D31F401"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 xml:space="preserve">Coverage scenarios to </w:t>
      </w:r>
      <w:r w:rsidR="000A1638" w:rsidRPr="00AB31E0">
        <w:rPr>
          <w:bCs/>
        </w:rPr>
        <w:t>cover</w:t>
      </w:r>
      <w:r w:rsidR="000A1638">
        <w:rPr>
          <w:bCs/>
        </w:rPr>
        <w:t>:</w:t>
      </w:r>
      <w:r w:rsidRPr="00AB31E0">
        <w:rPr>
          <w:bCs/>
        </w:rPr>
        <w:t xml:space="preserve"> in-coverage, partial-coverage and out-of-coverage</w:t>
      </w:r>
    </w:p>
    <w:p w14:paraId="3885DD29"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Requirements: Based on requirements identified in TR38.845 and TS22.261 and TS22.104</w:t>
      </w:r>
    </w:p>
    <w:p w14:paraId="0282383A"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Use cases: V2X (TR38.845), public safety (TR38.845), commercial (TS22.261), IIOT (TS22.104)</w:t>
      </w:r>
    </w:p>
    <w:p w14:paraId="58B3C3BD"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Spectrum: ITS, licensed</w:t>
      </w:r>
    </w:p>
    <w:p w14:paraId="03690C1F"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002BF4D" w14:textId="77777777" w:rsidR="00AE0EB9" w:rsidRPr="00AB31E0" w:rsidRDefault="00AE0EB9">
      <w:pPr>
        <w:numPr>
          <w:ilvl w:val="0"/>
          <w:numId w:val="10"/>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3471D619" w14:textId="77777777" w:rsidR="00AE0EB9" w:rsidRPr="00450452" w:rsidRDefault="00AE0EB9">
      <w:pPr>
        <w:numPr>
          <w:ilvl w:val="0"/>
          <w:numId w:val="10"/>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0E2F50EE" w14:textId="77777777" w:rsidR="00AE0EB9" w:rsidRDefault="00AE0EB9">
      <w:pPr>
        <w:numPr>
          <w:ilvl w:val="1"/>
          <w:numId w:val="10"/>
        </w:numPr>
        <w:overflowPunct w:val="0"/>
        <w:autoSpaceDE w:val="0"/>
        <w:autoSpaceDN w:val="0"/>
        <w:adjustRightInd w:val="0"/>
        <w:spacing w:after="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484077C1"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6C3EF0EA"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5AD3DFD" w14:textId="77777777" w:rsidR="00AE0EB9" w:rsidRPr="00AB31E0" w:rsidRDefault="00AE0EB9">
      <w:pPr>
        <w:numPr>
          <w:ilvl w:val="1"/>
          <w:numId w:val="10"/>
        </w:numPr>
        <w:overflowPunct w:val="0"/>
        <w:autoSpaceDE w:val="0"/>
        <w:autoSpaceDN w:val="0"/>
        <w:adjustRightInd w:val="0"/>
        <w:spacing w:after="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222FEBDA" w14:textId="77777777" w:rsidR="00AE0EB9" w:rsidRDefault="00AE0EB9" w:rsidP="00AE0EB9">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E67619" w14:textId="77777777" w:rsidR="00AE0EB9" w:rsidRDefault="00AE0EB9" w:rsidP="00855F39">
      <w:pPr>
        <w:rPr>
          <w:lang w:eastAsia="x-none"/>
        </w:rPr>
      </w:pPr>
    </w:p>
    <w:p w14:paraId="27E4BEC3" w14:textId="6A78FE74" w:rsidR="00233B33" w:rsidRDefault="00D35CEC" w:rsidP="00855F39">
      <w:pPr>
        <w:rPr>
          <w:lang w:eastAsia="x-none"/>
        </w:rPr>
      </w:pPr>
      <w:r>
        <w:rPr>
          <w:lang w:eastAsia="x-none"/>
        </w:rPr>
        <w:t>T</w:t>
      </w:r>
      <w:r w:rsidR="009118BE">
        <w:rPr>
          <w:lang w:eastAsia="x-none"/>
        </w:rPr>
        <w:t>he following selected agreements were made</w:t>
      </w:r>
      <w:r>
        <w:rPr>
          <w:lang w:eastAsia="x-none"/>
        </w:rPr>
        <w:t xml:space="preserve"> in RAN1#110b-e meeting</w:t>
      </w:r>
      <w:r w:rsidR="00C12A29">
        <w:rPr>
          <w:lang w:eastAsia="x-none"/>
        </w:rPr>
        <w:t xml:space="preserve"> </w:t>
      </w:r>
      <w:r w:rsidR="000A4B3B">
        <w:rPr>
          <w:lang w:eastAsia="x-none"/>
        </w:rPr>
        <w:fldChar w:fldCharType="begin"/>
      </w:r>
      <w:r w:rsidR="000A4B3B">
        <w:rPr>
          <w:lang w:eastAsia="x-none"/>
        </w:rPr>
        <w:instrText xml:space="preserve"> REF _Ref111106531 \r \h </w:instrText>
      </w:r>
      <w:r w:rsidR="000A4B3B">
        <w:rPr>
          <w:lang w:eastAsia="x-none"/>
        </w:rPr>
      </w:r>
      <w:r w:rsidR="000A4B3B">
        <w:rPr>
          <w:lang w:eastAsia="x-none"/>
        </w:rPr>
        <w:fldChar w:fldCharType="separate"/>
      </w:r>
      <w:r w:rsidR="0017693B">
        <w:rPr>
          <w:lang w:eastAsia="x-none"/>
        </w:rPr>
        <w:t>[2]</w:t>
      </w:r>
      <w:r w:rsidR="000A4B3B">
        <w:rPr>
          <w:lang w:eastAsia="x-none"/>
        </w:rPr>
        <w:fldChar w:fldCharType="end"/>
      </w:r>
      <w:r w:rsidR="009118BE">
        <w:rPr>
          <w:lang w:eastAsia="x-none"/>
        </w:rPr>
        <w:t>:</w:t>
      </w:r>
    </w:p>
    <w:tbl>
      <w:tblPr>
        <w:tblStyle w:val="TableGrid"/>
        <w:tblW w:w="0" w:type="auto"/>
        <w:tblLook w:val="04A0" w:firstRow="1" w:lastRow="0" w:firstColumn="1" w:lastColumn="0" w:noHBand="0" w:noVBand="1"/>
      </w:tblPr>
      <w:tblGrid>
        <w:gridCol w:w="9855"/>
      </w:tblGrid>
      <w:tr w:rsidR="009118BE" w14:paraId="3763E5DE" w14:textId="77777777" w:rsidTr="009118BE">
        <w:tc>
          <w:tcPr>
            <w:tcW w:w="9855" w:type="dxa"/>
          </w:tcPr>
          <w:p w14:paraId="7AE3F37E" w14:textId="77777777" w:rsidR="00CD0751" w:rsidRPr="008C710C" w:rsidRDefault="00CD0751" w:rsidP="00CD0751">
            <w:pPr>
              <w:rPr>
                <w:b/>
                <w:u w:val="single"/>
                <w:lang w:eastAsia="x-none"/>
              </w:rPr>
            </w:pPr>
            <w:r w:rsidRPr="008C710C">
              <w:rPr>
                <w:b/>
                <w:highlight w:val="green"/>
                <w:u w:val="single"/>
                <w:lang w:eastAsia="x-none"/>
              </w:rPr>
              <w:t>Agreement</w:t>
            </w:r>
          </w:p>
          <w:p w14:paraId="16013378" w14:textId="77777777" w:rsidR="00CD0751" w:rsidRPr="00B36932" w:rsidRDefault="00CD0751" w:rsidP="00B36932">
            <w:pPr>
              <w:numPr>
                <w:ilvl w:val="0"/>
                <w:numId w:val="27"/>
              </w:numPr>
              <w:spacing w:line="259" w:lineRule="auto"/>
              <w:contextualSpacing/>
              <w:jc w:val="both"/>
            </w:pPr>
            <w:r w:rsidRPr="00B36932">
              <w:t xml:space="preserve">With regards to the RTT-type solutions using SL, down-select between the following 2 alternatives: </w:t>
            </w:r>
          </w:p>
          <w:p w14:paraId="47203E76" w14:textId="77777777" w:rsidR="00CD0751" w:rsidRPr="00B36932" w:rsidRDefault="00CD0751" w:rsidP="00B36932">
            <w:pPr>
              <w:numPr>
                <w:ilvl w:val="1"/>
                <w:numId w:val="27"/>
              </w:numPr>
              <w:spacing w:line="259" w:lineRule="auto"/>
              <w:contextualSpacing/>
              <w:jc w:val="both"/>
            </w:pPr>
            <w:r w:rsidRPr="00B36932">
              <w:t>Alt. 1: it corresponds to a single-sided RTT method</w:t>
            </w:r>
          </w:p>
          <w:p w14:paraId="3B0913BA" w14:textId="77777777" w:rsidR="00CD0751" w:rsidRPr="005E5E24" w:rsidRDefault="00CD0751" w:rsidP="00B36932">
            <w:pPr>
              <w:numPr>
                <w:ilvl w:val="1"/>
                <w:numId w:val="27"/>
              </w:numPr>
              <w:spacing w:line="259" w:lineRule="auto"/>
              <w:contextualSpacing/>
              <w:jc w:val="both"/>
            </w:pPr>
            <w:r w:rsidRPr="005E5E24">
              <w:lastRenderedPageBreak/>
              <w:t>Alt. 2: it may correspond to either a single-sided or double-sided RTT method</w:t>
            </w:r>
          </w:p>
          <w:p w14:paraId="66469EC2" w14:textId="77777777" w:rsidR="00CD0751" w:rsidRPr="00B36932" w:rsidRDefault="00CD0751" w:rsidP="00B36932">
            <w:pPr>
              <w:numPr>
                <w:ilvl w:val="2"/>
                <w:numId w:val="27"/>
              </w:numPr>
              <w:spacing w:line="259" w:lineRule="auto"/>
              <w:contextualSpacing/>
              <w:jc w:val="both"/>
            </w:pPr>
            <w:r w:rsidRPr="00B36932">
              <w:t xml:space="preserve">With regards to the double-sided RTT, </w:t>
            </w:r>
          </w:p>
          <w:p w14:paraId="3E4570A9" w14:textId="77777777" w:rsidR="00CD0751" w:rsidRPr="00B36932" w:rsidRDefault="00CD0751" w:rsidP="00B36932">
            <w:pPr>
              <w:numPr>
                <w:ilvl w:val="3"/>
                <w:numId w:val="27"/>
              </w:numPr>
              <w:spacing w:line="259" w:lineRule="auto"/>
              <w:contextualSpacing/>
              <w:jc w:val="both"/>
            </w:pPr>
            <w:r w:rsidRPr="00B36932">
              <w:t>companies are encouraged to analyze and evaluate the effect in performance for the single-sided SL RTT due to clock drift</w:t>
            </w:r>
          </w:p>
          <w:p w14:paraId="08FFEAB9" w14:textId="77777777" w:rsidR="00CD0751" w:rsidRPr="00B36932" w:rsidRDefault="00CD0751" w:rsidP="00B36932">
            <w:pPr>
              <w:numPr>
                <w:ilvl w:val="3"/>
                <w:numId w:val="27"/>
              </w:numPr>
              <w:spacing w:line="259" w:lineRule="auto"/>
              <w:contextualSpacing/>
              <w:jc w:val="both"/>
            </w:pPr>
            <w:r w:rsidRPr="00B36932">
              <w:t>Study the order of the SL-PRS transmissions for double-sided RTT</w:t>
            </w:r>
          </w:p>
          <w:p w14:paraId="5CDC8130" w14:textId="77777777" w:rsidR="00CD0751" w:rsidRPr="00B36932" w:rsidRDefault="00CD0751" w:rsidP="00B36932">
            <w:pPr>
              <w:numPr>
                <w:ilvl w:val="3"/>
                <w:numId w:val="27"/>
              </w:numPr>
              <w:spacing w:line="259" w:lineRule="auto"/>
              <w:contextualSpacing/>
              <w:jc w:val="both"/>
            </w:pPr>
            <w:r w:rsidRPr="00B36932">
              <w:t>Study the impact of UE mobility</w:t>
            </w:r>
          </w:p>
          <w:p w14:paraId="1255014E" w14:textId="77777777" w:rsidR="00CD0751" w:rsidRPr="00B36932" w:rsidRDefault="00CD0751" w:rsidP="00B36932">
            <w:pPr>
              <w:numPr>
                <w:ilvl w:val="2"/>
                <w:numId w:val="27"/>
              </w:numPr>
              <w:spacing w:line="259" w:lineRule="auto"/>
              <w:contextualSpacing/>
              <w:jc w:val="both"/>
            </w:pPr>
            <w:r w:rsidRPr="00B36932">
              <w:rPr>
                <w:rFonts w:hint="eastAsia"/>
                <w:lang w:eastAsia="zh-CN"/>
              </w:rPr>
              <w:t xml:space="preserve">FFS </w:t>
            </w:r>
            <w:r w:rsidRPr="00B36932">
              <w:rPr>
                <w:lang w:eastAsia="zh-CN"/>
              </w:rPr>
              <w:t>study whether there is or what is the</w:t>
            </w:r>
            <w:r w:rsidRPr="00B36932">
              <w:rPr>
                <w:rFonts w:hint="eastAsia"/>
                <w:lang w:eastAsia="zh-CN"/>
              </w:rPr>
              <w:t xml:space="preserve"> spec impact </w:t>
            </w:r>
            <w:r w:rsidRPr="00B36932">
              <w:rPr>
                <w:lang w:eastAsia="zh-CN"/>
              </w:rPr>
              <w:t>of</w:t>
            </w:r>
            <w:r w:rsidRPr="00B36932">
              <w:rPr>
                <w:rFonts w:hint="eastAsia"/>
                <w:lang w:eastAsia="zh-CN"/>
              </w:rPr>
              <w:t xml:space="preserve"> double-sided RTT method</w:t>
            </w:r>
          </w:p>
          <w:p w14:paraId="621FD245" w14:textId="77777777" w:rsidR="00CD0751" w:rsidRPr="00B36932" w:rsidRDefault="00CD0751" w:rsidP="00B36932">
            <w:pPr>
              <w:numPr>
                <w:ilvl w:val="0"/>
                <w:numId w:val="27"/>
              </w:numPr>
              <w:spacing w:line="259" w:lineRule="auto"/>
              <w:contextualSpacing/>
              <w:jc w:val="both"/>
            </w:pPr>
            <w:r w:rsidRPr="00B36932">
              <w:rPr>
                <w:rFonts w:hint="eastAsia"/>
              </w:rPr>
              <w:t>Note: the above may correspond to RTT with one or multiple devices</w:t>
            </w:r>
          </w:p>
          <w:p w14:paraId="16A44A12" w14:textId="77777777" w:rsidR="00181A3C" w:rsidRPr="00B36932" w:rsidRDefault="00181A3C" w:rsidP="00B36932">
            <w:pPr>
              <w:tabs>
                <w:tab w:val="left" w:pos="1276"/>
              </w:tabs>
              <w:rPr>
                <w:bCs/>
              </w:rPr>
            </w:pPr>
          </w:p>
          <w:p w14:paraId="42D58249" w14:textId="77777777" w:rsidR="00B07DD3" w:rsidRPr="00B36932" w:rsidRDefault="00B07DD3" w:rsidP="005E5E24">
            <w:pPr>
              <w:pStyle w:val="ListParagraph"/>
              <w:numPr>
                <w:ilvl w:val="0"/>
                <w:numId w:val="30"/>
              </w:numPr>
              <w:spacing w:after="0"/>
              <w:jc w:val="both"/>
            </w:pPr>
            <w:r w:rsidRPr="00B36932">
              <w:t xml:space="preserve">For the study of SL-AoA positioning method, </w:t>
            </w:r>
          </w:p>
          <w:p w14:paraId="13F3F54D" w14:textId="77777777" w:rsidR="00B07DD3" w:rsidRPr="00B36932" w:rsidRDefault="00B07DD3" w:rsidP="005E5E24">
            <w:pPr>
              <w:numPr>
                <w:ilvl w:val="0"/>
                <w:numId w:val="29"/>
              </w:numPr>
              <w:spacing w:after="0" w:line="259" w:lineRule="auto"/>
              <w:contextualSpacing/>
              <w:jc w:val="both"/>
            </w:pPr>
            <w:r w:rsidRPr="00B36932">
              <w:t xml:space="preserve">Both SL Azimuth of arrival (AoA) and SL zenith of arrival (ZoA) measurement should be included </w:t>
            </w:r>
          </w:p>
          <w:p w14:paraId="11164917" w14:textId="77777777" w:rsidR="00B07DD3" w:rsidRPr="00B36932" w:rsidRDefault="00B07DD3" w:rsidP="005E5E24">
            <w:pPr>
              <w:numPr>
                <w:ilvl w:val="1"/>
                <w:numId w:val="29"/>
              </w:numPr>
              <w:spacing w:after="0" w:line="259" w:lineRule="auto"/>
              <w:contextualSpacing/>
              <w:jc w:val="both"/>
            </w:pPr>
            <w:r w:rsidRPr="00B36932">
              <w:t>FFS: Definition of the measurements</w:t>
            </w:r>
          </w:p>
          <w:p w14:paraId="1EFEC116" w14:textId="77777777" w:rsidR="00B07DD3" w:rsidRPr="00B36932" w:rsidRDefault="00B07DD3" w:rsidP="005E5E24">
            <w:pPr>
              <w:numPr>
                <w:ilvl w:val="0"/>
                <w:numId w:val="28"/>
              </w:numPr>
              <w:spacing w:after="0" w:line="259" w:lineRule="auto"/>
              <w:contextualSpacing/>
              <w:jc w:val="both"/>
            </w:pPr>
            <w:r w:rsidRPr="00B36932">
              <w:t>Study further whether other measurements can be applicable</w:t>
            </w:r>
          </w:p>
          <w:p w14:paraId="2E4238A4" w14:textId="77777777" w:rsidR="00B07DD3" w:rsidRPr="00B36932" w:rsidRDefault="00B07DD3" w:rsidP="005E5E24">
            <w:pPr>
              <w:numPr>
                <w:ilvl w:val="0"/>
                <w:numId w:val="28"/>
              </w:numPr>
              <w:spacing w:after="0" w:line="259" w:lineRule="auto"/>
              <w:contextualSpacing/>
              <w:jc w:val="both"/>
            </w:pPr>
            <w:r w:rsidRPr="00B36932">
              <w:t>Study further the frame of reference (LCS or GCS)</w:t>
            </w:r>
          </w:p>
          <w:p w14:paraId="267749FD" w14:textId="77777777" w:rsidR="00B07DD3" w:rsidRPr="00B36932" w:rsidRDefault="00B07DD3" w:rsidP="00B36932">
            <w:pPr>
              <w:tabs>
                <w:tab w:val="left" w:pos="1276"/>
              </w:tabs>
              <w:rPr>
                <w:bCs/>
              </w:rPr>
            </w:pPr>
          </w:p>
          <w:p w14:paraId="0CE0FBC4" w14:textId="77777777" w:rsidR="00342D10" w:rsidRPr="00B36932" w:rsidRDefault="00342D10" w:rsidP="005E5E24">
            <w:pPr>
              <w:pStyle w:val="ListParagraph"/>
              <w:numPr>
                <w:ilvl w:val="0"/>
                <w:numId w:val="30"/>
              </w:numPr>
              <w:spacing w:after="0"/>
              <w:jc w:val="both"/>
            </w:pPr>
            <w:r w:rsidRPr="00B36932">
              <w:t>With regards to SL-TDOA positioning method for SL-only positioning,</w:t>
            </w:r>
          </w:p>
          <w:p w14:paraId="2E274DE5" w14:textId="77777777" w:rsidR="00342D10" w:rsidRPr="00B36932" w:rsidRDefault="00342D10" w:rsidP="005E5E24">
            <w:pPr>
              <w:numPr>
                <w:ilvl w:val="0"/>
                <w:numId w:val="28"/>
              </w:numPr>
              <w:spacing w:after="0" w:line="259" w:lineRule="auto"/>
              <w:contextualSpacing/>
              <w:jc w:val="both"/>
            </w:pPr>
            <w:r w:rsidRPr="00B36932">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4E40CCE" w14:textId="77777777" w:rsidR="00342D10" w:rsidRPr="005E5E24" w:rsidRDefault="00342D10" w:rsidP="005E5E24">
            <w:pPr>
              <w:numPr>
                <w:ilvl w:val="0"/>
                <w:numId w:val="28"/>
              </w:numPr>
              <w:spacing w:after="0"/>
              <w:rPr>
                <w:lang w:eastAsia="x-none"/>
              </w:rPr>
            </w:pPr>
            <w:r w:rsidRPr="005E5E24">
              <w:t>Study the detailed procedure, necessary signalling for SL-TDOA, method(s) to mitigate impact of synchronization error between multiple anchor UEs including whether such method(s) are needed.</w:t>
            </w:r>
          </w:p>
          <w:p w14:paraId="1A2E4940" w14:textId="77777777" w:rsidR="00342D10" w:rsidRPr="00B36932" w:rsidRDefault="00342D10" w:rsidP="00B36932">
            <w:pPr>
              <w:rPr>
                <w:lang w:eastAsia="x-none"/>
              </w:rPr>
            </w:pPr>
          </w:p>
          <w:p w14:paraId="3DDF8B1A" w14:textId="77777777" w:rsidR="00922AF9" w:rsidRPr="00B36932" w:rsidRDefault="00922AF9" w:rsidP="005E5E24">
            <w:pPr>
              <w:pStyle w:val="ListParagraph"/>
              <w:numPr>
                <w:ilvl w:val="0"/>
                <w:numId w:val="30"/>
              </w:numPr>
              <w:spacing w:after="0"/>
              <w:jc w:val="both"/>
            </w:pPr>
            <w:r w:rsidRPr="00B36932">
              <w:t>Regarding Scheme 1 SL-PRS resource allocation, a transmitting UE receives a SL-PRS resource allocation signaling from the network. Consider one or more of the following options:</w:t>
            </w:r>
          </w:p>
          <w:p w14:paraId="43E82795" w14:textId="77777777" w:rsidR="00922AF9" w:rsidRPr="00B36932" w:rsidRDefault="00922AF9" w:rsidP="005E5E24">
            <w:pPr>
              <w:numPr>
                <w:ilvl w:val="0"/>
                <w:numId w:val="28"/>
              </w:numPr>
              <w:spacing w:after="0"/>
            </w:pPr>
            <w:r w:rsidRPr="00B36932">
              <w:t>Opt. 1: through higher layers from the LMF</w:t>
            </w:r>
          </w:p>
          <w:p w14:paraId="3C434F61" w14:textId="77777777" w:rsidR="00922AF9" w:rsidRPr="00B36932" w:rsidRDefault="00922AF9" w:rsidP="005E5E24">
            <w:pPr>
              <w:numPr>
                <w:ilvl w:val="0"/>
                <w:numId w:val="28"/>
              </w:numPr>
              <w:spacing w:after="0"/>
            </w:pPr>
            <w:r w:rsidRPr="00B36932">
              <w:t>Opt. 2: through Dynamic grant, or through configured grant type 1/type 2 from gNB</w:t>
            </w:r>
          </w:p>
          <w:p w14:paraId="7D490451" w14:textId="77777777" w:rsidR="00922AF9" w:rsidRPr="00B36932" w:rsidRDefault="00922AF9" w:rsidP="005E5E24">
            <w:pPr>
              <w:numPr>
                <w:ilvl w:val="1"/>
                <w:numId w:val="28"/>
              </w:numPr>
              <w:spacing w:after="0"/>
            </w:pPr>
            <w:r w:rsidRPr="00B36932">
              <w:t>Up to further discussion which one or more of these shall be applicable</w:t>
            </w:r>
          </w:p>
          <w:p w14:paraId="0475BD20" w14:textId="77777777" w:rsidR="00342D10" w:rsidRPr="00B36932" w:rsidRDefault="00342D10" w:rsidP="00B36932">
            <w:pPr>
              <w:rPr>
                <w:lang w:eastAsia="x-none"/>
              </w:rPr>
            </w:pPr>
          </w:p>
          <w:p w14:paraId="1B4EBE59" w14:textId="77777777" w:rsidR="00F0651E" w:rsidRPr="00B36932" w:rsidRDefault="00F0651E" w:rsidP="005E5E24">
            <w:pPr>
              <w:pStyle w:val="ListParagraph"/>
              <w:numPr>
                <w:ilvl w:val="0"/>
                <w:numId w:val="30"/>
              </w:numPr>
              <w:spacing w:after="0"/>
              <w:jc w:val="both"/>
            </w:pPr>
            <w:r w:rsidRPr="00B36932">
              <w:t>From RAN1 perspective, the following cast types of SL-PRS transmission can be introduced for SL positioning: Unicast, Groupcast (not including many to one)</w:t>
            </w:r>
          </w:p>
          <w:p w14:paraId="36E92CE1" w14:textId="77777777" w:rsidR="00F0651E" w:rsidRPr="00B36932" w:rsidRDefault="00F0651E" w:rsidP="005E5E24">
            <w:pPr>
              <w:numPr>
                <w:ilvl w:val="0"/>
                <w:numId w:val="28"/>
              </w:numPr>
              <w:spacing w:after="0"/>
            </w:pPr>
            <w:r w:rsidRPr="00B36932">
              <w:t>Broadcast (as a working assumption).</w:t>
            </w:r>
          </w:p>
          <w:p w14:paraId="2A6B97B2" w14:textId="77777777" w:rsidR="00F0651E" w:rsidRPr="00B36932" w:rsidRDefault="00F0651E" w:rsidP="005E5E24">
            <w:pPr>
              <w:numPr>
                <w:ilvl w:val="0"/>
                <w:numId w:val="28"/>
              </w:numPr>
              <w:spacing w:after="0"/>
            </w:pPr>
            <w:r w:rsidRPr="00B36932">
              <w:t>FFS: Applicability of the above cast types</w:t>
            </w:r>
          </w:p>
          <w:p w14:paraId="1F3CE183" w14:textId="77777777" w:rsidR="003606A9" w:rsidRPr="00B36932" w:rsidRDefault="003606A9" w:rsidP="00B36932"/>
          <w:p w14:paraId="451C93D6" w14:textId="4C7AD4A7" w:rsidR="003606A9" w:rsidRPr="00B36932" w:rsidRDefault="003606A9" w:rsidP="005E5E24">
            <w:pPr>
              <w:pStyle w:val="ListParagraph"/>
              <w:numPr>
                <w:ilvl w:val="0"/>
                <w:numId w:val="30"/>
              </w:numPr>
              <w:spacing w:after="0"/>
            </w:pPr>
            <w:r w:rsidRPr="00B36932">
              <w:t>For a dedicated resource pool for SL positioning,</w:t>
            </w:r>
          </w:p>
          <w:p w14:paraId="74605952" w14:textId="77777777" w:rsidR="003606A9" w:rsidRPr="00B36932" w:rsidRDefault="003606A9" w:rsidP="005E5E24">
            <w:pPr>
              <w:numPr>
                <w:ilvl w:val="0"/>
                <w:numId w:val="31"/>
              </w:numPr>
              <w:spacing w:after="0" w:line="252" w:lineRule="auto"/>
              <w:contextualSpacing/>
            </w:pPr>
            <w:r w:rsidRPr="00B36932">
              <w:t>With regards to which channels can be included in the resource pool in addition to SL-PRS, consider the following options:</w:t>
            </w:r>
          </w:p>
          <w:p w14:paraId="2F4FA42A" w14:textId="77777777" w:rsidR="003606A9" w:rsidRPr="00B36932" w:rsidRDefault="003606A9" w:rsidP="005E5E24">
            <w:pPr>
              <w:numPr>
                <w:ilvl w:val="1"/>
                <w:numId w:val="31"/>
              </w:numPr>
              <w:spacing w:after="0" w:line="252" w:lineRule="auto"/>
              <w:contextualSpacing/>
            </w:pPr>
            <w:r w:rsidRPr="00B36932">
              <w:t>Opt. 1: No other channel can be included beyond SL-PRS</w:t>
            </w:r>
          </w:p>
          <w:p w14:paraId="1D599F06" w14:textId="77777777" w:rsidR="003606A9" w:rsidRPr="00B36932" w:rsidRDefault="003606A9" w:rsidP="005E5E24">
            <w:pPr>
              <w:numPr>
                <w:ilvl w:val="1"/>
                <w:numId w:val="31"/>
              </w:numPr>
              <w:spacing w:after="0" w:line="252" w:lineRule="auto"/>
              <w:contextualSpacing/>
            </w:pPr>
            <w:r w:rsidRPr="00B36932">
              <w:t>Opt. 2: PSCCH which carries SCI associated with SL-PRS transmission(s) is included</w:t>
            </w:r>
          </w:p>
          <w:p w14:paraId="123672C3" w14:textId="77777777" w:rsidR="003606A9" w:rsidRPr="00B36932" w:rsidRDefault="003606A9" w:rsidP="005E5E24">
            <w:pPr>
              <w:numPr>
                <w:ilvl w:val="1"/>
                <w:numId w:val="31"/>
              </w:numPr>
              <w:spacing w:after="0" w:line="252" w:lineRule="auto"/>
              <w:contextualSpacing/>
            </w:pPr>
            <w:r w:rsidRPr="00B36932">
              <w:t>Opt. 3: PSCCH which carries SCI associated with SL-PRS transmission(s) and PSSCH associated with SL-PRS transmission(s) are included</w:t>
            </w:r>
          </w:p>
          <w:p w14:paraId="4DDD648D" w14:textId="77777777" w:rsidR="003606A9" w:rsidRPr="00B36932" w:rsidRDefault="003606A9" w:rsidP="005E5E24">
            <w:pPr>
              <w:numPr>
                <w:ilvl w:val="2"/>
                <w:numId w:val="31"/>
              </w:numPr>
              <w:spacing w:after="0" w:line="252" w:lineRule="auto"/>
              <w:contextualSpacing/>
            </w:pPr>
            <w:r w:rsidRPr="00B36932">
              <w:t>FFS: Details</w:t>
            </w:r>
          </w:p>
          <w:p w14:paraId="41675A87" w14:textId="77777777" w:rsidR="003606A9" w:rsidRPr="00B36932" w:rsidRDefault="003606A9" w:rsidP="005E5E24">
            <w:pPr>
              <w:numPr>
                <w:ilvl w:val="2"/>
                <w:numId w:val="31"/>
              </w:numPr>
              <w:spacing w:after="0" w:line="252" w:lineRule="auto"/>
              <w:contextualSpacing/>
            </w:pPr>
            <w:r w:rsidRPr="00B36932">
              <w:t>FFS: definition of PSSCH associated with SL-PRS transmission(s)</w:t>
            </w:r>
          </w:p>
          <w:p w14:paraId="3508B6B3" w14:textId="77777777" w:rsidR="003606A9" w:rsidRPr="00B36932" w:rsidRDefault="003606A9" w:rsidP="005E5E24">
            <w:pPr>
              <w:numPr>
                <w:ilvl w:val="0"/>
                <w:numId w:val="31"/>
              </w:numPr>
              <w:spacing w:after="0" w:line="252" w:lineRule="auto"/>
              <w:contextualSpacing/>
            </w:pPr>
            <w:r w:rsidRPr="00B36932">
              <w:t>Note: Companies are encouraged to provide their analysis and views on the above</w:t>
            </w:r>
          </w:p>
          <w:p w14:paraId="59EEAFDA" w14:textId="77777777" w:rsidR="00F0651E" w:rsidRPr="00B36932" w:rsidRDefault="00F0651E" w:rsidP="00B36932">
            <w:pPr>
              <w:rPr>
                <w:lang w:eastAsia="x-none"/>
              </w:rPr>
            </w:pPr>
          </w:p>
          <w:p w14:paraId="38E1E97B" w14:textId="77777777" w:rsidR="00475CEA" w:rsidRPr="00B36932" w:rsidRDefault="00475CEA" w:rsidP="005E5E24">
            <w:pPr>
              <w:pStyle w:val="ListParagraph"/>
              <w:numPr>
                <w:ilvl w:val="0"/>
                <w:numId w:val="30"/>
              </w:numPr>
            </w:pPr>
            <w:r w:rsidRPr="00B36932">
              <w:t>With regards to SL signaling of the reservation/indication of SL-PRS resource(s) for dedicated resource pool and shared resource pool (if supported) for positioning:</w:t>
            </w:r>
          </w:p>
          <w:p w14:paraId="4DC6D7DE" w14:textId="77777777" w:rsidR="00475CEA" w:rsidRPr="00B36932" w:rsidRDefault="00475CEA" w:rsidP="00B36932">
            <w:pPr>
              <w:numPr>
                <w:ilvl w:val="0"/>
                <w:numId w:val="31"/>
              </w:numPr>
              <w:spacing w:line="252" w:lineRule="auto"/>
              <w:contextualSpacing/>
            </w:pPr>
            <w:r w:rsidRPr="00B36932">
              <w:t>Option A.1: SCI can be used for reserving/indicating one or more SL-PRS resource(s)</w:t>
            </w:r>
          </w:p>
          <w:p w14:paraId="605444BA" w14:textId="77777777" w:rsidR="00475CEA" w:rsidRPr="00B36932" w:rsidRDefault="00475CEA" w:rsidP="00B36932">
            <w:pPr>
              <w:numPr>
                <w:ilvl w:val="1"/>
                <w:numId w:val="31"/>
              </w:numPr>
              <w:spacing w:line="252" w:lineRule="auto"/>
              <w:contextualSpacing/>
            </w:pPr>
            <w:r w:rsidRPr="00B36932">
              <w:t>Note: This does NOT mean that only SCI is being used. There can still be higher layer signaling for the purpose of indicating a part of SL-PRS configuration.</w:t>
            </w:r>
          </w:p>
          <w:p w14:paraId="1BDD6EB0" w14:textId="77777777" w:rsidR="00475CEA" w:rsidRPr="005E5E24" w:rsidRDefault="00475CEA" w:rsidP="00B36932">
            <w:pPr>
              <w:numPr>
                <w:ilvl w:val="1"/>
                <w:numId w:val="31"/>
              </w:numPr>
              <w:spacing w:line="252" w:lineRule="auto"/>
              <w:contextualSpacing/>
            </w:pPr>
            <w:r w:rsidRPr="005E5E24">
              <w:t>FFS: Whether SCI is single stage SCI or two stage SCI</w:t>
            </w:r>
          </w:p>
          <w:p w14:paraId="18EC049F" w14:textId="77777777" w:rsidR="00475CEA" w:rsidRPr="005E5E24" w:rsidRDefault="00475CEA" w:rsidP="00B36932">
            <w:pPr>
              <w:numPr>
                <w:ilvl w:val="0"/>
                <w:numId w:val="31"/>
              </w:numPr>
              <w:spacing w:line="252" w:lineRule="auto"/>
              <w:contextualSpacing/>
            </w:pPr>
            <w:r w:rsidRPr="005E5E24">
              <w:lastRenderedPageBreak/>
              <w:t>FFS: SL-MAC-CE or other higher-layer signaling reservation/indication</w:t>
            </w:r>
          </w:p>
          <w:p w14:paraId="03E090CC" w14:textId="77777777" w:rsidR="00475CEA" w:rsidRPr="00B36932" w:rsidRDefault="00475CEA" w:rsidP="00B36932"/>
          <w:p w14:paraId="4717573F" w14:textId="77777777" w:rsidR="0012752F" w:rsidRPr="00B36932" w:rsidRDefault="0012752F" w:rsidP="005E5E24">
            <w:pPr>
              <w:pStyle w:val="ListParagraph"/>
              <w:numPr>
                <w:ilvl w:val="0"/>
                <w:numId w:val="30"/>
              </w:numPr>
              <w:spacing w:after="0"/>
            </w:pPr>
            <w:r w:rsidRPr="00B36932">
              <w:t xml:space="preserve">At least for a </w:t>
            </w:r>
            <w:r w:rsidRPr="005E5E24">
              <w:t>dedicated resource pool</w:t>
            </w:r>
            <w:r w:rsidRPr="00B36932">
              <w:t xml:space="preserve"> for positioning,</w:t>
            </w:r>
          </w:p>
          <w:p w14:paraId="657AE43A" w14:textId="77777777" w:rsidR="0012752F" w:rsidRPr="00B36932" w:rsidRDefault="0012752F" w:rsidP="005E5E24">
            <w:pPr>
              <w:numPr>
                <w:ilvl w:val="0"/>
                <w:numId w:val="32"/>
              </w:numPr>
              <w:spacing w:after="0" w:line="252" w:lineRule="auto"/>
              <w:rPr>
                <w:rFonts w:ascii="Calibri" w:hAnsi="Calibri" w:cs="Calibri"/>
              </w:rPr>
            </w:pPr>
            <w:r w:rsidRPr="00B36932">
              <w:t xml:space="preserve">With regards to the bandwidth of SL-PRS transmission, downselect from the following alternatives: </w:t>
            </w:r>
          </w:p>
          <w:p w14:paraId="369264D4" w14:textId="77777777" w:rsidR="0012752F" w:rsidRPr="005E5E24" w:rsidRDefault="0012752F" w:rsidP="005E5E24">
            <w:pPr>
              <w:numPr>
                <w:ilvl w:val="1"/>
                <w:numId w:val="32"/>
              </w:numPr>
              <w:spacing w:after="0" w:line="252" w:lineRule="auto"/>
            </w:pPr>
            <w:r w:rsidRPr="005E5E24">
              <w:t>Alt. 1: The bandwidth of SL-PRS can be same or smaller than that of the resource pool</w:t>
            </w:r>
          </w:p>
          <w:p w14:paraId="2932F81A" w14:textId="77777777" w:rsidR="0012752F" w:rsidRPr="00B36932" w:rsidRDefault="0012752F" w:rsidP="005E5E24">
            <w:pPr>
              <w:numPr>
                <w:ilvl w:val="1"/>
                <w:numId w:val="32"/>
              </w:numPr>
              <w:spacing w:after="0" w:line="252" w:lineRule="auto"/>
            </w:pPr>
            <w:r w:rsidRPr="00B36932">
              <w:t xml:space="preserve">Alt. 2: The bandwidth of SL-PRS shall be the same as that of the resource pool </w:t>
            </w:r>
          </w:p>
          <w:p w14:paraId="2364C42E" w14:textId="77777777" w:rsidR="0012752F" w:rsidRPr="00B36932" w:rsidRDefault="0012752F" w:rsidP="005E5E24">
            <w:pPr>
              <w:numPr>
                <w:ilvl w:val="0"/>
                <w:numId w:val="32"/>
              </w:numPr>
              <w:spacing w:after="0" w:line="252" w:lineRule="auto"/>
            </w:pPr>
            <w:r w:rsidRPr="00B36932">
              <w:t>Note: Companies are encouraged to provide their analysis and views on the above alternatives</w:t>
            </w:r>
          </w:p>
          <w:p w14:paraId="6BC6DE2B" w14:textId="77777777" w:rsidR="0012752F" w:rsidRPr="00B36932" w:rsidRDefault="0012752F" w:rsidP="005E5E24">
            <w:pPr>
              <w:numPr>
                <w:ilvl w:val="0"/>
                <w:numId w:val="32"/>
              </w:numPr>
              <w:spacing w:after="0" w:line="252" w:lineRule="auto"/>
            </w:pPr>
            <w:r w:rsidRPr="00B36932">
              <w:t>FFS: Bandwidth of SL-PRS transmission for shared resource pool (if supported)</w:t>
            </w:r>
          </w:p>
          <w:p w14:paraId="68A01B06" w14:textId="77777777" w:rsidR="00475CEA" w:rsidRPr="00B36932" w:rsidRDefault="00475CEA" w:rsidP="00B36932"/>
          <w:p w14:paraId="1BDF934F" w14:textId="77777777" w:rsidR="00010322" w:rsidRPr="00B36932" w:rsidRDefault="00010322" w:rsidP="005E5E24">
            <w:pPr>
              <w:pStyle w:val="ListParagraph"/>
              <w:numPr>
                <w:ilvl w:val="0"/>
                <w:numId w:val="30"/>
              </w:numPr>
              <w:spacing w:after="0"/>
              <w:jc w:val="both"/>
            </w:pPr>
            <w:r w:rsidRPr="00B36932">
              <w:t>With regards to the SL-PRS time domain behavior, at least study the following behaviors from Tx UE perspective:</w:t>
            </w:r>
          </w:p>
          <w:p w14:paraId="6B230F25" w14:textId="77777777" w:rsidR="00010322" w:rsidRPr="00B36932" w:rsidRDefault="00010322" w:rsidP="005E5E24">
            <w:pPr>
              <w:numPr>
                <w:ilvl w:val="0"/>
                <w:numId w:val="32"/>
              </w:numPr>
              <w:spacing w:after="0" w:line="252" w:lineRule="auto"/>
            </w:pPr>
            <w:r w:rsidRPr="00B36932">
              <w:t xml:space="preserve">Periodic SL-PRS </w:t>
            </w:r>
          </w:p>
          <w:p w14:paraId="3B08E94A" w14:textId="77777777" w:rsidR="00010322" w:rsidRPr="006144F7" w:rsidRDefault="00010322" w:rsidP="005E5E24">
            <w:pPr>
              <w:numPr>
                <w:ilvl w:val="1"/>
                <w:numId w:val="32"/>
              </w:numPr>
              <w:spacing w:after="0" w:line="252" w:lineRule="auto"/>
            </w:pPr>
            <w:r w:rsidRPr="006144F7">
              <w:t xml:space="preserve">SL-PRS is transmitted periodically with a transmission periodicity </w:t>
            </w:r>
          </w:p>
          <w:p w14:paraId="5FEA969F" w14:textId="77777777" w:rsidR="00010322" w:rsidRPr="006144F7" w:rsidRDefault="00010322" w:rsidP="005E5E24">
            <w:pPr>
              <w:numPr>
                <w:ilvl w:val="1"/>
                <w:numId w:val="32"/>
              </w:numPr>
              <w:spacing w:after="0" w:line="252" w:lineRule="auto"/>
            </w:pPr>
            <w:r w:rsidRPr="006144F7">
              <w:t>FFS: any additional details, including whether or not higher layers can start/stop transmission.</w:t>
            </w:r>
          </w:p>
          <w:p w14:paraId="45A12A54" w14:textId="77777777" w:rsidR="00010322" w:rsidRPr="006144F7" w:rsidRDefault="00010322" w:rsidP="005E5E24">
            <w:pPr>
              <w:numPr>
                <w:ilvl w:val="0"/>
                <w:numId w:val="32"/>
              </w:numPr>
              <w:spacing w:after="0" w:line="252" w:lineRule="auto"/>
            </w:pPr>
            <w:r w:rsidRPr="006144F7">
              <w:t xml:space="preserve">Semi-persistent SL-PRS </w:t>
            </w:r>
          </w:p>
          <w:p w14:paraId="52E1A6D1" w14:textId="77777777" w:rsidR="00010322" w:rsidRPr="006144F7" w:rsidRDefault="00010322" w:rsidP="005E5E24">
            <w:pPr>
              <w:numPr>
                <w:ilvl w:val="1"/>
                <w:numId w:val="32"/>
              </w:numPr>
              <w:spacing w:after="0" w:line="252" w:lineRule="auto"/>
            </w:pPr>
            <w:r w:rsidRPr="006144F7">
              <w:t>SL-PRS is transmitted periodically with a transmission periodicity after activation and until deactivation</w:t>
            </w:r>
          </w:p>
          <w:p w14:paraId="35C972A6" w14:textId="77777777" w:rsidR="00010322" w:rsidRPr="006144F7" w:rsidRDefault="00010322" w:rsidP="005E5E24">
            <w:pPr>
              <w:numPr>
                <w:ilvl w:val="1"/>
                <w:numId w:val="32"/>
              </w:numPr>
              <w:spacing w:after="0" w:line="252" w:lineRule="auto"/>
            </w:pPr>
            <w:r w:rsidRPr="006144F7">
              <w:t>FFS: any additional details</w:t>
            </w:r>
          </w:p>
          <w:p w14:paraId="0C40122A" w14:textId="77777777" w:rsidR="00010322" w:rsidRPr="006144F7" w:rsidRDefault="00010322" w:rsidP="005E5E24">
            <w:pPr>
              <w:numPr>
                <w:ilvl w:val="0"/>
                <w:numId w:val="32"/>
              </w:numPr>
              <w:spacing w:after="0" w:line="252" w:lineRule="auto"/>
            </w:pPr>
            <w:r w:rsidRPr="006144F7">
              <w:t xml:space="preserve">Aperiodic SL-PRS </w:t>
            </w:r>
          </w:p>
          <w:p w14:paraId="11059028" w14:textId="77777777" w:rsidR="00010322" w:rsidRPr="006144F7" w:rsidRDefault="00010322" w:rsidP="005E5E24">
            <w:pPr>
              <w:numPr>
                <w:ilvl w:val="1"/>
                <w:numId w:val="32"/>
              </w:numPr>
              <w:spacing w:after="0" w:line="252" w:lineRule="auto"/>
            </w:pPr>
            <w:r w:rsidRPr="006144F7">
              <w:t xml:space="preserve">SL-PRS is transmitted at least once after [triggering/request] </w:t>
            </w:r>
          </w:p>
          <w:p w14:paraId="1D77F92B" w14:textId="77777777" w:rsidR="00010322" w:rsidRPr="006144F7" w:rsidRDefault="00010322" w:rsidP="005E5E24">
            <w:pPr>
              <w:numPr>
                <w:ilvl w:val="2"/>
                <w:numId w:val="32"/>
              </w:numPr>
              <w:spacing w:after="0" w:line="252" w:lineRule="auto"/>
            </w:pPr>
            <w:r w:rsidRPr="006144F7">
              <w:t xml:space="preserve">Note: the brackets in the above means that companies are encouraged to study further whether “triggering” and/or “request” should be used and provide their definitions. </w:t>
            </w:r>
          </w:p>
          <w:p w14:paraId="7495FDA2" w14:textId="18262450" w:rsidR="0012752F" w:rsidRPr="00C84BD3" w:rsidRDefault="00010322" w:rsidP="005E5E24">
            <w:pPr>
              <w:numPr>
                <w:ilvl w:val="1"/>
                <w:numId w:val="32"/>
              </w:numPr>
              <w:spacing w:after="0" w:line="252" w:lineRule="auto"/>
            </w:pPr>
            <w:r w:rsidRPr="006144F7">
              <w:t>FFS: any additional details</w:t>
            </w:r>
          </w:p>
          <w:p w14:paraId="07F404AC" w14:textId="77777777" w:rsidR="009118BE" w:rsidRDefault="009118BE" w:rsidP="00A1659E">
            <w:pPr>
              <w:rPr>
                <w:lang w:eastAsia="x-none"/>
              </w:rPr>
            </w:pPr>
          </w:p>
        </w:tc>
      </w:tr>
    </w:tbl>
    <w:p w14:paraId="2533BBA8" w14:textId="77777777" w:rsidR="009118BE" w:rsidRDefault="009118BE" w:rsidP="00855F39">
      <w:pPr>
        <w:rPr>
          <w:lang w:eastAsia="x-none"/>
        </w:rPr>
      </w:pPr>
    </w:p>
    <w:p w14:paraId="3DE729FC" w14:textId="672A2A5E" w:rsidR="00445CC6" w:rsidRPr="00AE0EB9" w:rsidRDefault="00445CC6" w:rsidP="00855F39">
      <w:r>
        <w:t xml:space="preserve">This contribution provides our views </w:t>
      </w:r>
      <w:r w:rsidR="00786CA1">
        <w:t>/ considerations on potential solutions for SL positioning.</w:t>
      </w:r>
    </w:p>
    <w:p w14:paraId="1E118B6D" w14:textId="2091CA21"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0BD0E905" w14:textId="20F50F81" w:rsidR="0010051A" w:rsidRDefault="00A53959">
      <w:pPr>
        <w:pStyle w:val="Heading2"/>
      </w:pPr>
      <w:r w:rsidRPr="00B36932">
        <w:t>RTT-type solutions using SL</w:t>
      </w:r>
    </w:p>
    <w:p w14:paraId="6990E947" w14:textId="46231478" w:rsidR="00702CED" w:rsidRDefault="001E6E72" w:rsidP="00702CED">
      <w:pPr>
        <w:pStyle w:val="Caption"/>
        <w:jc w:val="both"/>
        <w:rPr>
          <w:rFonts w:ascii="Times New Roman" w:eastAsia="SimSun" w:hAnsi="Times New Roman"/>
          <w:b w:val="0"/>
          <w:bCs/>
          <w:szCs w:val="20"/>
        </w:rPr>
      </w:pPr>
      <w:r>
        <w:rPr>
          <w:rFonts w:ascii="Times New Roman" w:eastAsia="SimSun" w:hAnsi="Times New Roman"/>
          <w:b w:val="0"/>
          <w:bCs/>
          <w:szCs w:val="20"/>
        </w:rPr>
        <w:t>I</w:t>
      </w:r>
      <w:r w:rsidR="002C4D34" w:rsidRPr="005E5E24">
        <w:rPr>
          <w:rFonts w:ascii="Times New Roman" w:eastAsia="SimSun" w:hAnsi="Times New Roman"/>
          <w:b w:val="0"/>
          <w:bCs/>
          <w:szCs w:val="20"/>
        </w:rPr>
        <w:t xml:space="preserve">t has been identified that there are two types of </w:t>
      </w:r>
      <w:r w:rsidR="00147612" w:rsidRPr="005E5E24">
        <w:rPr>
          <w:rFonts w:ascii="Times New Roman" w:eastAsia="SimSun" w:hAnsi="Times New Roman"/>
          <w:b w:val="0"/>
          <w:bCs/>
          <w:szCs w:val="20"/>
        </w:rPr>
        <w:t>RTT-type solutions using SL</w:t>
      </w:r>
      <w:r w:rsidR="0040402B">
        <w:rPr>
          <w:rFonts w:ascii="Times New Roman" w:eastAsia="SimSun" w:hAnsi="Times New Roman"/>
          <w:b w:val="0"/>
          <w:bCs/>
          <w:szCs w:val="20"/>
        </w:rPr>
        <w:t>, known</w:t>
      </w:r>
      <w:r w:rsidR="00147612" w:rsidRPr="005E5E24">
        <w:rPr>
          <w:rFonts w:ascii="Times New Roman" w:eastAsia="SimSun" w:hAnsi="Times New Roman"/>
          <w:b w:val="0"/>
          <w:bCs/>
          <w:szCs w:val="20"/>
        </w:rPr>
        <w:t xml:space="preserve"> as Single-Sided </w:t>
      </w:r>
      <w:r w:rsidR="00DD32DA">
        <w:rPr>
          <w:rFonts w:ascii="Times New Roman" w:eastAsia="SimSun" w:hAnsi="Times New Roman"/>
          <w:b w:val="0"/>
          <w:bCs/>
          <w:szCs w:val="20"/>
        </w:rPr>
        <w:t>SL-</w:t>
      </w:r>
      <w:r w:rsidR="00147612" w:rsidRPr="005E5E24">
        <w:rPr>
          <w:rFonts w:ascii="Times New Roman" w:eastAsia="SimSun" w:hAnsi="Times New Roman"/>
          <w:b w:val="0"/>
          <w:bCs/>
          <w:szCs w:val="20"/>
        </w:rPr>
        <w:t>RTT</w:t>
      </w:r>
      <w:r w:rsidR="00753D35">
        <w:rPr>
          <w:rFonts w:ascii="Times New Roman" w:eastAsia="SimSun" w:hAnsi="Times New Roman"/>
          <w:b w:val="0"/>
          <w:bCs/>
          <w:szCs w:val="20"/>
        </w:rPr>
        <w:t xml:space="preserve"> (SS-SL-RTT)</w:t>
      </w:r>
      <w:r w:rsidR="00147612" w:rsidRPr="005E5E24">
        <w:rPr>
          <w:rFonts w:ascii="Times New Roman" w:eastAsia="SimSun" w:hAnsi="Times New Roman"/>
          <w:b w:val="0"/>
          <w:bCs/>
          <w:szCs w:val="20"/>
        </w:rPr>
        <w:t xml:space="preserve"> and Double-Sided </w:t>
      </w:r>
      <w:r w:rsidR="00DD32DA">
        <w:rPr>
          <w:rFonts w:ascii="Times New Roman" w:eastAsia="SimSun" w:hAnsi="Times New Roman"/>
          <w:b w:val="0"/>
          <w:bCs/>
          <w:szCs w:val="20"/>
        </w:rPr>
        <w:t>SL-</w:t>
      </w:r>
      <w:r w:rsidR="00147612" w:rsidRPr="005E5E24">
        <w:rPr>
          <w:rFonts w:ascii="Times New Roman" w:eastAsia="SimSun" w:hAnsi="Times New Roman"/>
          <w:b w:val="0"/>
          <w:bCs/>
          <w:szCs w:val="20"/>
        </w:rPr>
        <w:t>RTT</w:t>
      </w:r>
      <w:r w:rsidR="00753D35">
        <w:rPr>
          <w:rFonts w:ascii="Times New Roman" w:eastAsia="SimSun" w:hAnsi="Times New Roman"/>
          <w:b w:val="0"/>
          <w:bCs/>
          <w:szCs w:val="20"/>
        </w:rPr>
        <w:t xml:space="preserve"> (DS-SL-RTT)</w:t>
      </w:r>
      <w:r w:rsidR="00147612" w:rsidRPr="005E5E24">
        <w:rPr>
          <w:rFonts w:ascii="Times New Roman" w:eastAsia="SimSun" w:hAnsi="Times New Roman"/>
          <w:b w:val="0"/>
          <w:bCs/>
          <w:szCs w:val="20"/>
        </w:rPr>
        <w:t>.</w:t>
      </w:r>
      <w:r w:rsidR="00753D35">
        <w:rPr>
          <w:rFonts w:ascii="Times New Roman" w:eastAsia="SimSun" w:hAnsi="Times New Roman"/>
          <w:b w:val="0"/>
          <w:bCs/>
          <w:szCs w:val="20"/>
        </w:rPr>
        <w:t xml:space="preserve"> DS-SL-RTT is introduced to compensate the </w:t>
      </w:r>
      <w:r w:rsidR="007F5ACA">
        <w:rPr>
          <w:rFonts w:ascii="Times New Roman" w:eastAsia="SimSun" w:hAnsi="Times New Roman"/>
          <w:b w:val="0"/>
          <w:bCs/>
          <w:szCs w:val="20"/>
        </w:rPr>
        <w:t>tim</w:t>
      </w:r>
      <w:r w:rsidR="001C5CF8">
        <w:rPr>
          <w:rFonts w:ascii="Times New Roman" w:eastAsia="SimSun" w:hAnsi="Times New Roman"/>
          <w:b w:val="0"/>
          <w:bCs/>
          <w:szCs w:val="20"/>
        </w:rPr>
        <w:t>e</w:t>
      </w:r>
      <w:r w:rsidR="007F5ACA">
        <w:rPr>
          <w:rFonts w:ascii="Times New Roman" w:eastAsia="SimSun" w:hAnsi="Times New Roman"/>
          <w:b w:val="0"/>
          <w:bCs/>
          <w:szCs w:val="20"/>
        </w:rPr>
        <w:t xml:space="preserve"> drift </w:t>
      </w:r>
      <w:r w:rsidR="003814A3">
        <w:rPr>
          <w:rFonts w:ascii="Times New Roman" w:eastAsia="SimSun" w:hAnsi="Times New Roman"/>
          <w:b w:val="0"/>
          <w:bCs/>
          <w:szCs w:val="20"/>
        </w:rPr>
        <w:t xml:space="preserve">generated by the </w:t>
      </w:r>
      <w:r w:rsidR="003A3F38">
        <w:rPr>
          <w:rFonts w:ascii="Times New Roman" w:eastAsia="SimSun" w:hAnsi="Times New Roman"/>
          <w:b w:val="0"/>
          <w:bCs/>
          <w:szCs w:val="20"/>
        </w:rPr>
        <w:t xml:space="preserve">unique </w:t>
      </w:r>
      <w:r w:rsidR="003814A3">
        <w:rPr>
          <w:rFonts w:ascii="Times New Roman" w:eastAsia="SimSun" w:hAnsi="Times New Roman"/>
          <w:b w:val="0"/>
          <w:bCs/>
          <w:szCs w:val="20"/>
        </w:rPr>
        <w:t xml:space="preserve">oscillator drift in </w:t>
      </w:r>
      <w:r w:rsidR="003A3F38">
        <w:rPr>
          <w:rFonts w:ascii="Times New Roman" w:eastAsia="SimSun" w:hAnsi="Times New Roman"/>
          <w:b w:val="0"/>
          <w:bCs/>
          <w:szCs w:val="20"/>
        </w:rPr>
        <w:t>both UEs.</w:t>
      </w:r>
      <w:r w:rsidR="00531043">
        <w:rPr>
          <w:rFonts w:ascii="Times New Roman" w:eastAsia="SimSun" w:hAnsi="Times New Roman"/>
          <w:b w:val="0"/>
          <w:bCs/>
          <w:szCs w:val="20"/>
        </w:rPr>
        <w:t xml:space="preserve"> The </w:t>
      </w:r>
      <w:r w:rsidR="009003B4">
        <w:rPr>
          <w:rFonts w:ascii="Times New Roman" w:eastAsia="SimSun" w:hAnsi="Times New Roman"/>
          <w:b w:val="0"/>
          <w:bCs/>
          <w:szCs w:val="20"/>
        </w:rPr>
        <w:t xml:space="preserve">error </w:t>
      </w:r>
      <w:r w:rsidR="002E465E">
        <w:rPr>
          <w:rFonts w:ascii="Times New Roman" w:eastAsia="SimSun" w:hAnsi="Times New Roman"/>
          <w:b w:val="0"/>
          <w:bCs/>
          <w:szCs w:val="20"/>
        </w:rPr>
        <w:t xml:space="preserve">from </w:t>
      </w:r>
      <w:r w:rsidR="00531043">
        <w:rPr>
          <w:rFonts w:ascii="Times New Roman" w:eastAsia="SimSun" w:hAnsi="Times New Roman"/>
          <w:b w:val="0"/>
          <w:bCs/>
          <w:szCs w:val="20"/>
        </w:rPr>
        <w:t>tim</w:t>
      </w:r>
      <w:r w:rsidR="001C5CF8">
        <w:rPr>
          <w:rFonts w:ascii="Times New Roman" w:eastAsia="SimSun" w:hAnsi="Times New Roman"/>
          <w:b w:val="0"/>
          <w:bCs/>
          <w:szCs w:val="20"/>
        </w:rPr>
        <w:t>e</w:t>
      </w:r>
      <w:r w:rsidR="00531043">
        <w:rPr>
          <w:rFonts w:ascii="Times New Roman" w:eastAsia="SimSun" w:hAnsi="Times New Roman"/>
          <w:b w:val="0"/>
          <w:bCs/>
          <w:szCs w:val="20"/>
        </w:rPr>
        <w:t xml:space="preserve"> drift is known to be larger in case the</w:t>
      </w:r>
      <w:r w:rsidR="00E91656">
        <w:rPr>
          <w:rFonts w:ascii="Times New Roman" w:eastAsia="SimSun" w:hAnsi="Times New Roman"/>
          <w:b w:val="0"/>
          <w:bCs/>
          <w:szCs w:val="20"/>
        </w:rPr>
        <w:t>re is a large</w:t>
      </w:r>
      <w:r w:rsidR="00531043">
        <w:rPr>
          <w:rFonts w:ascii="Times New Roman" w:eastAsia="SimSun" w:hAnsi="Times New Roman"/>
          <w:b w:val="0"/>
          <w:bCs/>
          <w:szCs w:val="20"/>
        </w:rPr>
        <w:t xml:space="preserve"> </w:t>
      </w:r>
      <w:r w:rsidR="00B31F87">
        <w:rPr>
          <w:rFonts w:ascii="Times New Roman" w:eastAsia="SimSun" w:hAnsi="Times New Roman"/>
          <w:b w:val="0"/>
          <w:bCs/>
          <w:szCs w:val="20"/>
        </w:rPr>
        <w:t>tim</w:t>
      </w:r>
      <w:r w:rsidR="00E91656">
        <w:rPr>
          <w:rFonts w:ascii="Times New Roman" w:eastAsia="SimSun" w:hAnsi="Times New Roman"/>
          <w:b w:val="0"/>
          <w:bCs/>
          <w:szCs w:val="20"/>
        </w:rPr>
        <w:t>e-</w:t>
      </w:r>
      <w:r w:rsidR="00B31F87">
        <w:rPr>
          <w:rFonts w:ascii="Times New Roman" w:eastAsia="SimSun" w:hAnsi="Times New Roman"/>
          <w:b w:val="0"/>
          <w:bCs/>
          <w:szCs w:val="20"/>
        </w:rPr>
        <w:t xml:space="preserve">gap between the </w:t>
      </w:r>
      <w:r w:rsidR="00531043">
        <w:rPr>
          <w:rFonts w:ascii="Times New Roman" w:eastAsia="SimSun" w:hAnsi="Times New Roman"/>
          <w:b w:val="0"/>
          <w:bCs/>
          <w:szCs w:val="20"/>
        </w:rPr>
        <w:t xml:space="preserve">second SL-PRS transmission </w:t>
      </w:r>
      <w:r w:rsidR="00B31F87">
        <w:rPr>
          <w:rFonts w:ascii="Times New Roman" w:eastAsia="SimSun" w:hAnsi="Times New Roman"/>
          <w:b w:val="0"/>
          <w:bCs/>
          <w:szCs w:val="20"/>
        </w:rPr>
        <w:t>and the first SL-PRS transmission</w:t>
      </w:r>
      <w:r w:rsidR="00E91656">
        <w:rPr>
          <w:rFonts w:ascii="Times New Roman" w:eastAsia="SimSun" w:hAnsi="Times New Roman"/>
          <w:b w:val="0"/>
          <w:bCs/>
          <w:szCs w:val="20"/>
        </w:rPr>
        <w:t>.</w:t>
      </w:r>
      <w:r w:rsidR="00E96CA7">
        <w:rPr>
          <w:rFonts w:ascii="Times New Roman" w:eastAsia="SimSun" w:hAnsi="Times New Roman"/>
          <w:b w:val="0"/>
          <w:bCs/>
          <w:szCs w:val="20"/>
        </w:rPr>
        <w:t xml:space="preserve"> DS-SL-RTT requires the third SL-PRS transmission</w:t>
      </w:r>
      <w:r w:rsidR="007C7D01">
        <w:rPr>
          <w:rFonts w:ascii="Times New Roman" w:eastAsia="SimSun" w:hAnsi="Times New Roman"/>
          <w:b w:val="0"/>
          <w:bCs/>
          <w:szCs w:val="20"/>
        </w:rPr>
        <w:t xml:space="preserve"> with Tx-Tx and Rx-Rx time difference measurement</w:t>
      </w:r>
      <w:r w:rsidR="00E96CA7">
        <w:rPr>
          <w:rFonts w:ascii="Times New Roman" w:eastAsia="SimSun" w:hAnsi="Times New Roman"/>
          <w:b w:val="0"/>
          <w:bCs/>
          <w:szCs w:val="20"/>
        </w:rPr>
        <w:t xml:space="preserve"> for the </w:t>
      </w:r>
      <w:r w:rsidR="00744E74">
        <w:rPr>
          <w:rFonts w:ascii="Times New Roman" w:eastAsia="SimSun" w:hAnsi="Times New Roman"/>
          <w:b w:val="0"/>
          <w:bCs/>
          <w:szCs w:val="20"/>
        </w:rPr>
        <w:t xml:space="preserve">compensation </w:t>
      </w:r>
      <w:r w:rsidR="00E96CA7">
        <w:rPr>
          <w:rFonts w:ascii="Times New Roman" w:eastAsia="SimSun" w:hAnsi="Times New Roman"/>
          <w:b w:val="0"/>
          <w:bCs/>
          <w:szCs w:val="20"/>
        </w:rPr>
        <w:t>of the</w:t>
      </w:r>
      <w:r w:rsidR="00901C58">
        <w:rPr>
          <w:rFonts w:ascii="Times New Roman" w:eastAsia="SimSun" w:hAnsi="Times New Roman"/>
          <w:b w:val="0"/>
          <w:bCs/>
          <w:szCs w:val="20"/>
        </w:rPr>
        <w:t xml:space="preserve"> tim</w:t>
      </w:r>
      <w:r w:rsidR="00C71EB0">
        <w:rPr>
          <w:rFonts w:ascii="Times New Roman" w:eastAsia="SimSun" w:hAnsi="Times New Roman"/>
          <w:b w:val="0"/>
          <w:bCs/>
          <w:szCs w:val="20"/>
        </w:rPr>
        <w:t>e</w:t>
      </w:r>
      <w:r w:rsidR="00901C58">
        <w:rPr>
          <w:rFonts w:ascii="Times New Roman" w:eastAsia="SimSun" w:hAnsi="Times New Roman"/>
          <w:b w:val="0"/>
          <w:bCs/>
          <w:szCs w:val="20"/>
        </w:rPr>
        <w:t xml:space="preserve"> </w:t>
      </w:r>
      <w:r w:rsidR="00744E74">
        <w:rPr>
          <w:rFonts w:ascii="Times New Roman" w:eastAsia="SimSun" w:hAnsi="Times New Roman"/>
          <w:b w:val="0"/>
          <w:bCs/>
          <w:szCs w:val="20"/>
        </w:rPr>
        <w:t>drift.</w:t>
      </w:r>
      <w:r w:rsidR="005F0129">
        <w:rPr>
          <w:rFonts w:ascii="Times New Roman" w:eastAsia="SimSun" w:hAnsi="Times New Roman"/>
          <w:b w:val="0"/>
          <w:bCs/>
          <w:szCs w:val="20"/>
        </w:rPr>
        <w:t xml:space="preserve"> It implies the total SL-RTT measurement becomes </w:t>
      </w:r>
      <w:r w:rsidR="007C7D01">
        <w:rPr>
          <w:rFonts w:ascii="Times New Roman" w:eastAsia="SimSun" w:hAnsi="Times New Roman"/>
          <w:b w:val="0"/>
          <w:bCs/>
          <w:szCs w:val="20"/>
        </w:rPr>
        <w:t>longer,</w:t>
      </w:r>
      <w:r w:rsidR="005F0129">
        <w:rPr>
          <w:rFonts w:ascii="Times New Roman" w:eastAsia="SimSun" w:hAnsi="Times New Roman"/>
          <w:b w:val="0"/>
          <w:bCs/>
          <w:szCs w:val="20"/>
        </w:rPr>
        <w:t xml:space="preserve"> and additional signalling / resources </w:t>
      </w:r>
      <w:r w:rsidR="0074178C">
        <w:rPr>
          <w:rFonts w:ascii="Times New Roman" w:eastAsia="SimSun" w:hAnsi="Times New Roman"/>
          <w:b w:val="0"/>
          <w:bCs/>
          <w:szCs w:val="20"/>
        </w:rPr>
        <w:t>are needed for the operation of the third SL-PRS transmission.</w:t>
      </w:r>
      <w:r w:rsidR="0004330F">
        <w:rPr>
          <w:rFonts w:ascii="Times New Roman" w:eastAsia="SimSun" w:hAnsi="Times New Roman"/>
          <w:b w:val="0"/>
          <w:bCs/>
          <w:szCs w:val="20"/>
        </w:rPr>
        <w:t xml:space="preserve"> </w:t>
      </w:r>
      <w:r w:rsidR="00A2053B">
        <w:rPr>
          <w:rFonts w:ascii="Times New Roman" w:eastAsia="SimSun" w:hAnsi="Times New Roman"/>
          <w:b w:val="0"/>
          <w:bCs/>
          <w:szCs w:val="20"/>
        </w:rPr>
        <w:t>SS-SL-RTT</w:t>
      </w:r>
      <w:r w:rsidR="009D769C">
        <w:rPr>
          <w:rFonts w:ascii="Times New Roman" w:eastAsia="SimSun" w:hAnsi="Times New Roman"/>
          <w:b w:val="0"/>
          <w:bCs/>
          <w:szCs w:val="20"/>
        </w:rPr>
        <w:t xml:space="preserve"> does not require the third SL-PRS transmission</w:t>
      </w:r>
      <w:r w:rsidR="00702CED">
        <w:rPr>
          <w:rFonts w:ascii="Times New Roman" w:eastAsia="SimSun" w:hAnsi="Times New Roman"/>
          <w:b w:val="0"/>
          <w:bCs/>
          <w:szCs w:val="20"/>
        </w:rPr>
        <w:t>. However, it may prone to the tim</w:t>
      </w:r>
      <w:r w:rsidR="00C71EB0">
        <w:rPr>
          <w:rFonts w:ascii="Times New Roman" w:eastAsia="SimSun" w:hAnsi="Times New Roman"/>
          <w:b w:val="0"/>
          <w:bCs/>
          <w:szCs w:val="20"/>
        </w:rPr>
        <w:t>e</w:t>
      </w:r>
      <w:r w:rsidR="00702CED">
        <w:rPr>
          <w:rFonts w:ascii="Times New Roman" w:eastAsia="SimSun" w:hAnsi="Times New Roman"/>
          <w:b w:val="0"/>
          <w:bCs/>
          <w:szCs w:val="20"/>
        </w:rPr>
        <w:t xml:space="preserve"> drift issue.</w:t>
      </w:r>
    </w:p>
    <w:p w14:paraId="0C31741F" w14:textId="23770585" w:rsidR="007A316F" w:rsidRDefault="001E6E72" w:rsidP="00702CED">
      <w:pPr>
        <w:pStyle w:val="Caption"/>
        <w:jc w:val="both"/>
        <w:rPr>
          <w:rFonts w:ascii="Times New Roman" w:eastAsia="SimSun" w:hAnsi="Times New Roman"/>
          <w:b w:val="0"/>
          <w:bCs/>
          <w:szCs w:val="20"/>
        </w:rPr>
      </w:pPr>
      <w:r>
        <w:rPr>
          <w:rFonts w:ascii="Times New Roman" w:eastAsia="SimSun" w:hAnsi="Times New Roman"/>
          <w:b w:val="0"/>
          <w:bCs/>
          <w:szCs w:val="20"/>
        </w:rPr>
        <w:t xml:space="preserve">In RAN1#110b-e, </w:t>
      </w:r>
      <w:r w:rsidR="00FF53EC">
        <w:rPr>
          <w:rFonts w:ascii="Times New Roman" w:eastAsia="SimSun" w:hAnsi="Times New Roman"/>
          <w:b w:val="0"/>
          <w:bCs/>
          <w:szCs w:val="20"/>
        </w:rPr>
        <w:t>the aforementioned types of SL-RTT were discussed. We consider both SL-RTT shall be supported</w:t>
      </w:r>
      <w:r w:rsidR="00037E85">
        <w:rPr>
          <w:rFonts w:ascii="Times New Roman" w:eastAsia="SimSun" w:hAnsi="Times New Roman"/>
          <w:b w:val="0"/>
          <w:bCs/>
          <w:szCs w:val="20"/>
        </w:rPr>
        <w:t xml:space="preserve"> as both SL-RTT types have different merit</w:t>
      </w:r>
      <w:r>
        <w:rPr>
          <w:rFonts w:ascii="Times New Roman" w:eastAsia="SimSun" w:hAnsi="Times New Roman"/>
          <w:b w:val="0"/>
          <w:bCs/>
          <w:szCs w:val="20"/>
        </w:rPr>
        <w:t>s</w:t>
      </w:r>
      <w:r w:rsidR="00037E85">
        <w:rPr>
          <w:rFonts w:ascii="Times New Roman" w:eastAsia="SimSun" w:hAnsi="Times New Roman"/>
          <w:b w:val="0"/>
          <w:bCs/>
          <w:szCs w:val="20"/>
        </w:rPr>
        <w:t xml:space="preserve">. </w:t>
      </w:r>
      <w:r w:rsidR="00980562">
        <w:rPr>
          <w:rFonts w:ascii="Times New Roman" w:eastAsia="SimSun" w:hAnsi="Times New Roman"/>
          <w:b w:val="0"/>
          <w:bCs/>
          <w:szCs w:val="20"/>
        </w:rPr>
        <w:t xml:space="preserve">SS-SL-RTT can still be adopted with minimized </w:t>
      </w:r>
      <w:r w:rsidR="006D7E50">
        <w:rPr>
          <w:rFonts w:ascii="Times New Roman" w:eastAsia="SimSun" w:hAnsi="Times New Roman"/>
          <w:b w:val="0"/>
          <w:bCs/>
          <w:szCs w:val="20"/>
        </w:rPr>
        <w:t xml:space="preserve">Rx-Tx time difference, </w:t>
      </w:r>
      <w:r w:rsidR="00E23DF5">
        <w:rPr>
          <w:rFonts w:ascii="Times New Roman" w:eastAsia="SimSun" w:hAnsi="Times New Roman"/>
          <w:b w:val="0"/>
          <w:bCs/>
          <w:szCs w:val="20"/>
        </w:rPr>
        <w:t>such that the</w:t>
      </w:r>
      <w:r w:rsidR="0006574C">
        <w:rPr>
          <w:rFonts w:ascii="Times New Roman" w:eastAsia="SimSun" w:hAnsi="Times New Roman"/>
          <w:b w:val="0"/>
          <w:bCs/>
          <w:szCs w:val="20"/>
        </w:rPr>
        <w:t xml:space="preserve"> impact of the tim</w:t>
      </w:r>
      <w:r w:rsidR="00C71EB0">
        <w:rPr>
          <w:rFonts w:ascii="Times New Roman" w:eastAsia="SimSun" w:hAnsi="Times New Roman"/>
          <w:b w:val="0"/>
          <w:bCs/>
          <w:szCs w:val="20"/>
        </w:rPr>
        <w:t>e</w:t>
      </w:r>
      <w:r w:rsidR="0006574C">
        <w:rPr>
          <w:rFonts w:ascii="Times New Roman" w:eastAsia="SimSun" w:hAnsi="Times New Roman"/>
          <w:b w:val="0"/>
          <w:bCs/>
          <w:szCs w:val="20"/>
        </w:rPr>
        <w:t xml:space="preserve"> drift can be considered negligible.</w:t>
      </w:r>
      <w:r w:rsidR="00AA3EDD">
        <w:rPr>
          <w:rFonts w:ascii="Times New Roman" w:eastAsia="SimSun" w:hAnsi="Times New Roman"/>
          <w:b w:val="0"/>
          <w:bCs/>
          <w:szCs w:val="20"/>
        </w:rPr>
        <w:t xml:space="preserve"> For example, </w:t>
      </w:r>
      <w:r w:rsidR="00CF6FBE">
        <w:rPr>
          <w:rFonts w:ascii="Times New Roman" w:eastAsia="SimSun" w:hAnsi="Times New Roman"/>
          <w:b w:val="0"/>
          <w:bCs/>
          <w:szCs w:val="20"/>
        </w:rPr>
        <w:t xml:space="preserve">the </w:t>
      </w:r>
      <w:r w:rsidR="00AA3EDD">
        <w:rPr>
          <w:rFonts w:ascii="Times New Roman" w:eastAsia="SimSun" w:hAnsi="Times New Roman"/>
          <w:b w:val="0"/>
          <w:bCs/>
          <w:szCs w:val="20"/>
        </w:rPr>
        <w:t xml:space="preserve">the second SL-PRS transmission is </w:t>
      </w:r>
      <w:r w:rsidR="00C71EB0">
        <w:rPr>
          <w:rFonts w:ascii="Times New Roman" w:eastAsia="SimSun" w:hAnsi="Times New Roman"/>
          <w:b w:val="0"/>
          <w:bCs/>
          <w:szCs w:val="20"/>
        </w:rPr>
        <w:t>transmitted with</w:t>
      </w:r>
      <w:r w:rsidR="00546909">
        <w:rPr>
          <w:rFonts w:ascii="Times New Roman" w:eastAsia="SimSun" w:hAnsi="Times New Roman"/>
          <w:b w:val="0"/>
          <w:bCs/>
          <w:szCs w:val="20"/>
        </w:rPr>
        <w:t xml:space="preserve"> a small time-gap </w:t>
      </w:r>
      <w:r w:rsidR="00627068">
        <w:rPr>
          <w:rFonts w:ascii="Times New Roman" w:eastAsia="SimSun" w:hAnsi="Times New Roman"/>
          <w:b w:val="0"/>
          <w:bCs/>
          <w:szCs w:val="20"/>
        </w:rPr>
        <w:t>right after the reception of the first SL-PRS.</w:t>
      </w:r>
      <w:r w:rsidR="00BA22A5">
        <w:rPr>
          <w:rFonts w:ascii="Times New Roman" w:eastAsia="SimSun" w:hAnsi="Times New Roman"/>
          <w:b w:val="0"/>
          <w:bCs/>
          <w:szCs w:val="20"/>
        </w:rPr>
        <w:t xml:space="preserve"> </w:t>
      </w:r>
    </w:p>
    <w:p w14:paraId="4594082E" w14:textId="281B792A" w:rsidR="009167E7" w:rsidRDefault="00BA22A5" w:rsidP="00702CED">
      <w:pPr>
        <w:pStyle w:val="Caption"/>
        <w:jc w:val="both"/>
        <w:rPr>
          <w:rFonts w:ascii="Times New Roman" w:eastAsia="SimSun" w:hAnsi="Times New Roman"/>
          <w:b w:val="0"/>
          <w:bCs/>
          <w:szCs w:val="20"/>
        </w:rPr>
      </w:pPr>
      <w:r>
        <w:rPr>
          <w:rFonts w:ascii="Times New Roman" w:eastAsia="SimSun" w:hAnsi="Times New Roman"/>
          <w:b w:val="0"/>
          <w:bCs/>
          <w:szCs w:val="20"/>
        </w:rPr>
        <w:t xml:space="preserve">Furthermore, the second SL-PRS can be transmitted </w:t>
      </w:r>
      <w:r w:rsidR="00C47BCB">
        <w:rPr>
          <w:rFonts w:ascii="Times New Roman" w:eastAsia="SimSun" w:hAnsi="Times New Roman"/>
          <w:b w:val="0"/>
          <w:bCs/>
          <w:szCs w:val="20"/>
        </w:rPr>
        <w:t>in a predefined time and known by the first SL-PRS. In this case, SS-SL-PRS</w:t>
      </w:r>
      <w:r w:rsidR="00534118">
        <w:rPr>
          <w:rFonts w:ascii="Times New Roman" w:eastAsia="SimSun" w:hAnsi="Times New Roman"/>
          <w:b w:val="0"/>
          <w:bCs/>
          <w:szCs w:val="20"/>
        </w:rPr>
        <w:t xml:space="preserve"> transmission can become more efficient as the</w:t>
      </w:r>
      <w:r w:rsidR="00B13327">
        <w:rPr>
          <w:rFonts w:ascii="Times New Roman" w:eastAsia="SimSun" w:hAnsi="Times New Roman"/>
          <w:b w:val="0"/>
          <w:bCs/>
          <w:szCs w:val="20"/>
        </w:rPr>
        <w:t xml:space="preserve"> Rx-Tx time different report from the second UE is no longer required.</w:t>
      </w:r>
    </w:p>
    <w:p w14:paraId="75605873" w14:textId="197985D5" w:rsidR="00CB192B" w:rsidRDefault="00B13327" w:rsidP="005E5E24">
      <w:pPr>
        <w:pStyle w:val="Caption"/>
      </w:pPr>
      <w:bookmarkStart w:id="3" w:name="_Toc118724188"/>
      <w:r>
        <w:lastRenderedPageBreak/>
        <w:t xml:space="preserve">Proposal </w:t>
      </w:r>
      <w:fldSimple w:instr=" SEQ Proposal \* ARABIC ">
        <w:r w:rsidR="0017693B">
          <w:rPr>
            <w:noProof/>
          </w:rPr>
          <w:t>1</w:t>
        </w:r>
      </w:fldSimple>
      <w:r>
        <w:t>: Support</w:t>
      </w:r>
      <w:r w:rsidR="00FF4F4B">
        <w:t xml:space="preserve"> </w:t>
      </w:r>
      <w:r w:rsidR="00FF4F4B" w:rsidRPr="00B36932">
        <w:t>the RTT-type solutions using SL</w:t>
      </w:r>
      <w:r w:rsidR="00FF4F4B" w:rsidRPr="00E72EDB">
        <w:t xml:space="preserve"> </w:t>
      </w:r>
      <w:r w:rsidR="001E668B">
        <w:t xml:space="preserve">corresponds to </w:t>
      </w:r>
      <w:r w:rsidR="00FF4F4B" w:rsidRPr="00E72EDB">
        <w:t>a single-sided or double-sided RTT method</w:t>
      </w:r>
      <w:r w:rsidR="001E668B">
        <w:t xml:space="preserve"> (known as Alt.2)</w:t>
      </w:r>
      <w:bookmarkEnd w:id="3"/>
    </w:p>
    <w:p w14:paraId="194F59CE" w14:textId="2920FB33" w:rsidR="00CB192B" w:rsidRPr="00CB192B" w:rsidRDefault="00CB192B" w:rsidP="00CB192B">
      <w:pPr>
        <w:pStyle w:val="Caption"/>
      </w:pPr>
      <w:bookmarkStart w:id="4" w:name="_Toc118724189"/>
      <w:r>
        <w:t xml:space="preserve">Proposal </w:t>
      </w:r>
      <w:fldSimple w:instr=" SEQ Proposal \* ARABIC ">
        <w:r w:rsidR="0017693B">
          <w:rPr>
            <w:noProof/>
          </w:rPr>
          <w:t>2</w:t>
        </w:r>
      </w:fldSimple>
      <w:r>
        <w:t xml:space="preserve">: </w:t>
      </w:r>
      <w:r w:rsidR="00C73223">
        <w:t>Introduce</w:t>
      </w:r>
      <w:r>
        <w:t xml:space="preserve"> the time window between the first and the second PRS transmission</w:t>
      </w:r>
      <w:r w:rsidR="00973815">
        <w:t xml:space="preserve"> in order to minimize the impact of the tim</w:t>
      </w:r>
      <w:r w:rsidR="00C71EB0">
        <w:t>e</w:t>
      </w:r>
      <w:r w:rsidR="00973815">
        <w:t xml:space="preserve"> drift</w:t>
      </w:r>
      <w:r w:rsidR="006E1B07">
        <w:t xml:space="preserve"> in Single Sided SL-RTT.</w:t>
      </w:r>
      <w:bookmarkEnd w:id="4"/>
    </w:p>
    <w:p w14:paraId="039C19F3" w14:textId="551B9788" w:rsidR="002061A5" w:rsidRPr="002061A5" w:rsidRDefault="002061A5" w:rsidP="002061A5"/>
    <w:p w14:paraId="2B480161" w14:textId="6F4EBC01" w:rsidR="006D7113" w:rsidRPr="00C24047" w:rsidRDefault="00020F77">
      <w:pPr>
        <w:pStyle w:val="Heading2"/>
      </w:pPr>
      <w:r>
        <w:t>Sidelink Resource Allocation</w:t>
      </w:r>
    </w:p>
    <w:p w14:paraId="12E96E32" w14:textId="28453F7E" w:rsidR="006D7113" w:rsidRDefault="00747900" w:rsidP="00D5510F">
      <w:pPr>
        <w:jc w:val="both"/>
        <w:rPr>
          <w:lang w:val="en-US"/>
        </w:rPr>
      </w:pPr>
      <w:r>
        <w:rPr>
          <w:lang w:val="en-US"/>
        </w:rPr>
        <w:t xml:space="preserve">In principle, the </w:t>
      </w:r>
      <w:r w:rsidR="00EF5339">
        <w:rPr>
          <w:lang w:val="en-US"/>
        </w:rPr>
        <w:t>legacy sidelink resource allocation can be reused</w:t>
      </w:r>
      <w:r w:rsidR="00FC407A">
        <w:rPr>
          <w:lang w:val="en-US"/>
        </w:rPr>
        <w:t xml:space="preserve"> for positioning purpose</w:t>
      </w:r>
      <w:r w:rsidR="00EF5339">
        <w:rPr>
          <w:lang w:val="en-US"/>
        </w:rPr>
        <w:t>. However, the resource utilization may not be optimal.</w:t>
      </w:r>
      <w:r w:rsidR="00FC407A">
        <w:rPr>
          <w:lang w:val="en-US"/>
        </w:rPr>
        <w:t xml:space="preserve"> For example, SL for positioning may require wide</w:t>
      </w:r>
      <w:r w:rsidR="00795AA5">
        <w:rPr>
          <w:lang w:val="en-US"/>
        </w:rPr>
        <w:t>r</w:t>
      </w:r>
      <w:r w:rsidR="00FC407A">
        <w:rPr>
          <w:lang w:val="en-US"/>
        </w:rPr>
        <w:t xml:space="preserve"> bandwidth</w:t>
      </w:r>
      <w:r w:rsidR="008567DD">
        <w:rPr>
          <w:lang w:val="en-US"/>
        </w:rPr>
        <w:t xml:space="preserve">, </w:t>
      </w:r>
      <w:r w:rsidR="00437E33">
        <w:rPr>
          <w:lang w:val="en-US"/>
        </w:rPr>
        <w:t xml:space="preserve">while </w:t>
      </w:r>
      <w:r w:rsidR="00885D91">
        <w:rPr>
          <w:lang w:val="en-US"/>
        </w:rPr>
        <w:t xml:space="preserve">the </w:t>
      </w:r>
      <w:r w:rsidR="00D0729B">
        <w:rPr>
          <w:lang w:val="en-US"/>
        </w:rPr>
        <w:t xml:space="preserve">bandwidth for </w:t>
      </w:r>
      <w:r w:rsidR="00437E33">
        <w:rPr>
          <w:lang w:val="en-US"/>
        </w:rPr>
        <w:t xml:space="preserve">SL communication may </w:t>
      </w:r>
      <w:r w:rsidR="00D0729B">
        <w:rPr>
          <w:lang w:val="en-US"/>
        </w:rPr>
        <w:t>not require to be wide</w:t>
      </w:r>
      <w:r w:rsidR="00437E33">
        <w:rPr>
          <w:lang w:val="en-US"/>
        </w:rPr>
        <w:t xml:space="preserve">. Allocating </w:t>
      </w:r>
      <w:r w:rsidR="00A57D1C">
        <w:rPr>
          <w:lang w:val="en-US"/>
        </w:rPr>
        <w:t xml:space="preserve">a </w:t>
      </w:r>
      <w:r w:rsidR="00437E33">
        <w:rPr>
          <w:lang w:val="en-US"/>
        </w:rPr>
        <w:t xml:space="preserve">wide bandwidth for </w:t>
      </w:r>
      <w:r w:rsidR="00942317">
        <w:rPr>
          <w:lang w:val="en-US"/>
        </w:rPr>
        <w:t xml:space="preserve">the </w:t>
      </w:r>
      <w:r w:rsidR="00A57D1C">
        <w:rPr>
          <w:lang w:val="en-US"/>
        </w:rPr>
        <w:t>SL communication</w:t>
      </w:r>
      <w:r w:rsidR="00942317">
        <w:rPr>
          <w:lang w:val="en-US"/>
        </w:rPr>
        <w:t xml:space="preserve"> may results in unutilized resources.</w:t>
      </w:r>
    </w:p>
    <w:p w14:paraId="496BB11A" w14:textId="3DA1CEEA" w:rsidR="00BF6185" w:rsidRDefault="00942317" w:rsidP="00D5510F">
      <w:pPr>
        <w:jc w:val="both"/>
      </w:pPr>
      <w:r>
        <w:rPr>
          <w:lang w:val="en-US"/>
        </w:rPr>
        <w:t>Sidelink resource allocation for positioning, especially for SL-PRS transmission were initially discussed in RAN1#109e</w:t>
      </w:r>
      <w:r w:rsidR="00DC4340">
        <w:rPr>
          <w:lang w:val="en-US"/>
        </w:rPr>
        <w:t xml:space="preserve"> meeting</w:t>
      </w:r>
      <w:r>
        <w:rPr>
          <w:lang w:val="en-US"/>
        </w:rPr>
        <w:t>.</w:t>
      </w:r>
      <w:r w:rsidR="00F05504">
        <w:rPr>
          <w:lang w:val="en-US"/>
        </w:rPr>
        <w:t xml:space="preserve"> Two options for </w:t>
      </w:r>
      <w:r w:rsidR="00A800E5" w:rsidRPr="007A7A2F">
        <w:t>SL Positioning resource (pre-)configuration</w:t>
      </w:r>
      <w:r w:rsidR="00A800E5">
        <w:t xml:space="preserve"> were identified, namely </w:t>
      </w:r>
      <w:r w:rsidR="00372B44">
        <w:t>dedicated resource pool for SL-PRS and shared resource pool with sidelink communication.</w:t>
      </w:r>
      <w:r w:rsidR="00ED4782">
        <w:t xml:space="preserve"> We consider both options </w:t>
      </w:r>
      <w:r w:rsidR="0029105E">
        <w:t>can be used</w:t>
      </w:r>
      <w:r w:rsidR="00ED4782">
        <w:t>.</w:t>
      </w:r>
      <w:r w:rsidR="00853559">
        <w:t xml:space="preserve"> </w:t>
      </w:r>
      <w:r w:rsidR="00051455">
        <w:t xml:space="preserve">These two </w:t>
      </w:r>
      <w:r w:rsidR="00853559">
        <w:t xml:space="preserve">options can be </w:t>
      </w:r>
      <w:r w:rsidR="00051455">
        <w:t xml:space="preserve">selectively </w:t>
      </w:r>
      <w:r w:rsidR="00853559">
        <w:t xml:space="preserve">deployed </w:t>
      </w:r>
      <w:r w:rsidR="00051455">
        <w:t>depending on</w:t>
      </w:r>
      <w:r w:rsidR="00853559">
        <w:t xml:space="preserve"> </w:t>
      </w:r>
      <w:r w:rsidR="00051455">
        <w:t xml:space="preserve">the </w:t>
      </w:r>
      <w:r w:rsidR="00A57D1C">
        <w:t>scenario</w:t>
      </w:r>
      <w:r w:rsidR="00051455">
        <w:t>, which provides</w:t>
      </w:r>
      <w:r w:rsidR="00696555">
        <w:t xml:space="preserve"> deployment flexibility.</w:t>
      </w:r>
      <w:r w:rsidR="001A425E">
        <w:t xml:space="preserve"> </w:t>
      </w:r>
    </w:p>
    <w:p w14:paraId="3FAF8ABD" w14:textId="412756C8" w:rsidR="00404F4B" w:rsidRPr="009E2C2C" w:rsidRDefault="00CE649B" w:rsidP="00D5510F">
      <w:pPr>
        <w:jc w:val="both"/>
      </w:pPr>
      <w:r>
        <w:t>Dedicated resource pool for SL-PRS</w:t>
      </w:r>
      <w:r w:rsidR="00D14E28">
        <w:t xml:space="preserve"> would be beneficial, particularly </w:t>
      </w:r>
      <w:r w:rsidR="000B15FF">
        <w:t>of</w:t>
      </w:r>
      <w:r w:rsidR="00D14E28">
        <w:t xml:space="preserve"> </w:t>
      </w:r>
      <w:r w:rsidR="00EC35A5">
        <w:t xml:space="preserve">the flexibility of </w:t>
      </w:r>
      <w:r w:rsidR="00672035">
        <w:t>allocating</w:t>
      </w:r>
      <w:r w:rsidR="001F125A">
        <w:t xml:space="preserve"> </w:t>
      </w:r>
      <w:r w:rsidR="00D14E28">
        <w:t>wide</w:t>
      </w:r>
      <w:r w:rsidR="005B09A4">
        <w:t xml:space="preserve"> frequency </w:t>
      </w:r>
      <w:r w:rsidR="004A6D16">
        <w:t>bandwidth</w:t>
      </w:r>
      <w:r w:rsidR="005B09A4">
        <w:t xml:space="preserve"> </w:t>
      </w:r>
      <w:r w:rsidR="0049281C">
        <w:t>for better positioning accuracy</w:t>
      </w:r>
      <w:r w:rsidR="00EC35A5">
        <w:t>,</w:t>
      </w:r>
      <w:r w:rsidR="0049281C">
        <w:t xml:space="preserve"> or short time duration for </w:t>
      </w:r>
      <w:r w:rsidR="00EC35A5">
        <w:t>low latency</w:t>
      </w:r>
      <w:r w:rsidR="005B09A4">
        <w:t>.</w:t>
      </w:r>
      <w:r w:rsidR="007B5DB1">
        <w:t xml:space="preserve"> </w:t>
      </w:r>
      <w:r w:rsidR="00635799">
        <w:t xml:space="preserve">The dedicated resource pool </w:t>
      </w:r>
      <w:r w:rsidR="007B5DB1">
        <w:t xml:space="preserve">becomes independent from the resources for sidelink communications. The resources for sidelink communication </w:t>
      </w:r>
      <w:r w:rsidR="00710026">
        <w:t>may not consider wider frequency allocation</w:t>
      </w:r>
      <w:r w:rsidR="007A1E39">
        <w:t xml:space="preserve">. </w:t>
      </w:r>
      <w:r w:rsidR="00875DF9">
        <w:t>In legacy, a UE operating sidelink communication</w:t>
      </w:r>
      <w:r w:rsidR="005E252B">
        <w:t xml:space="preserve"> can only be configured with one bandwidth part (BWP)</w:t>
      </w:r>
      <w:r w:rsidR="00307A42">
        <w:t xml:space="preserve">. This BWP is typically the UE active </w:t>
      </w:r>
      <w:r w:rsidR="00AD3082">
        <w:t xml:space="preserve">UL </w:t>
      </w:r>
      <w:r w:rsidR="00307A42">
        <w:t>BWP that is used for communication purpose.</w:t>
      </w:r>
      <w:r w:rsidR="00AD3082">
        <w:t xml:space="preserve"> The bandwidth of the</w:t>
      </w:r>
      <w:r w:rsidR="005E252B">
        <w:t xml:space="preserve"> </w:t>
      </w:r>
      <w:r w:rsidR="00AD3082">
        <w:t xml:space="preserve">UE UL BWP may not always be wide enough to support </w:t>
      </w:r>
      <w:r w:rsidR="00E045A9">
        <w:t xml:space="preserve">SL-PRS transmission. </w:t>
      </w:r>
      <w:r w:rsidR="007A1E39">
        <w:t xml:space="preserve">The dedicated resources for SL-PRS transmission can be realized by introducing </w:t>
      </w:r>
      <w:r w:rsidR="000B2C5C">
        <w:t xml:space="preserve">a </w:t>
      </w:r>
      <w:r w:rsidR="001F7C3C">
        <w:t xml:space="preserve">separate </w:t>
      </w:r>
      <w:r w:rsidR="00E045A9">
        <w:t>BWP that is primarily used for positioning.</w:t>
      </w:r>
      <w:r w:rsidR="00CD041B">
        <w:t xml:space="preserve"> Hence, a UE can be configured with at least 2 BWPs, such that 1 BWP for supporting legacy SL communication and 1 BWP for positioning.</w:t>
      </w:r>
      <w:r w:rsidR="00347372">
        <w:t xml:space="preserve"> </w:t>
      </w:r>
      <w:r w:rsidR="000B2C5C">
        <w:t>Additionally, t</w:t>
      </w:r>
      <w:r w:rsidR="00347372">
        <w:t xml:space="preserve">he BWP for positioning is not restricted for positioning. It can also be configured to support communications. </w:t>
      </w:r>
    </w:p>
    <w:p w14:paraId="694A059E" w14:textId="1D390B67" w:rsidR="00A17A18" w:rsidRDefault="00404F4B" w:rsidP="009E2C2C">
      <w:pPr>
        <w:pStyle w:val="Caption"/>
      </w:pPr>
      <w:bookmarkStart w:id="5" w:name="_Toc115439756"/>
      <w:bookmarkStart w:id="6" w:name="_Toc118724190"/>
      <w:bookmarkStart w:id="7" w:name="_Toc111194524"/>
      <w:r>
        <w:t xml:space="preserve">Proposal </w:t>
      </w:r>
      <w:r>
        <w:fldChar w:fldCharType="begin"/>
      </w:r>
      <w:r>
        <w:instrText>SEQ Proposal \* ARABIC</w:instrText>
      </w:r>
      <w:r>
        <w:fldChar w:fldCharType="separate"/>
      </w:r>
      <w:r w:rsidR="0017693B">
        <w:rPr>
          <w:noProof/>
        </w:rPr>
        <w:t>3</w:t>
      </w:r>
      <w:r>
        <w:fldChar w:fldCharType="end"/>
      </w:r>
      <w:r w:rsidRPr="00847CB4">
        <w:t xml:space="preserve">: </w:t>
      </w:r>
      <w:r w:rsidR="00037924">
        <w:t xml:space="preserve">Support </w:t>
      </w:r>
      <w:r w:rsidR="00BC3A6E">
        <w:t>a BWP carrying dedicated resource pool(s) for positioning</w:t>
      </w:r>
      <w:r w:rsidR="009E2C2C">
        <w:t xml:space="preserve"> (e.g., to carry wideband SL-PRS).</w:t>
      </w:r>
      <w:bookmarkEnd w:id="5"/>
      <w:bookmarkEnd w:id="6"/>
      <w:r w:rsidR="009E2C2C">
        <w:t xml:space="preserve"> </w:t>
      </w:r>
      <w:bookmarkEnd w:id="7"/>
    </w:p>
    <w:p w14:paraId="1716D26D" w14:textId="3EAFC789" w:rsidR="00CE649B" w:rsidRDefault="00CE649B" w:rsidP="005352A4">
      <w:pPr>
        <w:jc w:val="both"/>
      </w:pPr>
      <w:r>
        <w:t>In RAN1#110b-e</w:t>
      </w:r>
      <w:r w:rsidR="002B647C">
        <w:t>, we discussed the resource utilization of the bandwidth of SL-PRS. In our view, t</w:t>
      </w:r>
      <w:r w:rsidRPr="00E72EDB">
        <w:t>he bandwidth of SL-PRS can be same or smaller than that of the resource pool</w:t>
      </w:r>
      <w:r w:rsidR="005352A4">
        <w:t xml:space="preserve">. We do not need to put restriction that the bandwidth of SL-PRS shall be </w:t>
      </w:r>
      <w:r w:rsidR="002739FB">
        <w:t>the same as the resource pool size.</w:t>
      </w:r>
      <w:r w:rsidR="00192EA9">
        <w:t xml:space="preserve"> It can be used for other purposes (other than SL-PRS transmission), and we need to support forward compatibility.</w:t>
      </w:r>
    </w:p>
    <w:p w14:paraId="636144F9" w14:textId="22AE799C" w:rsidR="0045734E" w:rsidRPr="00CE649B" w:rsidRDefault="0045734E" w:rsidP="0045734E">
      <w:pPr>
        <w:pStyle w:val="Caption"/>
      </w:pPr>
      <w:bookmarkStart w:id="8" w:name="_Toc118724191"/>
      <w:r>
        <w:t xml:space="preserve">Proposal </w:t>
      </w:r>
      <w:fldSimple w:instr=" SEQ Proposal \* ARABIC ">
        <w:r w:rsidR="0017693B">
          <w:rPr>
            <w:noProof/>
          </w:rPr>
          <w:t>4</w:t>
        </w:r>
      </w:fldSimple>
      <w:r>
        <w:t>: Support t</w:t>
      </w:r>
      <w:r w:rsidRPr="00E72EDB">
        <w:t>he bandwidth of SL-PRS can be same or smaller than that of the resource pool</w:t>
      </w:r>
      <w:bookmarkEnd w:id="8"/>
    </w:p>
    <w:p w14:paraId="34C30D49" w14:textId="4ED1916E" w:rsidR="004052F0" w:rsidRDefault="004052F0" w:rsidP="00D5510F">
      <w:pPr>
        <w:jc w:val="both"/>
      </w:pPr>
      <w:r>
        <w:t xml:space="preserve">In </w:t>
      </w:r>
      <w:r w:rsidR="004A65C8">
        <w:t>case of</w:t>
      </w:r>
      <w:r>
        <w:t xml:space="preserve"> </w:t>
      </w:r>
      <w:r w:rsidR="00080B15">
        <w:t>a resource pool is shared with sidelink communication,</w:t>
      </w:r>
      <w:r w:rsidR="00FE23BF">
        <w:t xml:space="preserve"> coexistence between SL communication and SL positioning is the important aspects</w:t>
      </w:r>
      <w:r w:rsidR="00327C90">
        <w:t>, including backward compatibility. The SL positioning</w:t>
      </w:r>
      <w:r w:rsidR="00FD7A7B">
        <w:t xml:space="preserve"> resources can be allocated in TDD manner</w:t>
      </w:r>
      <w:r w:rsidR="002E73AC">
        <w:t xml:space="preserve"> as illustrated in</w:t>
      </w:r>
      <w:r w:rsidR="006748F3">
        <w:t xml:space="preserve"> </w:t>
      </w:r>
      <w:r w:rsidR="00081F1B">
        <w:fldChar w:fldCharType="begin"/>
      </w:r>
      <w:r w:rsidR="00081F1B">
        <w:instrText xml:space="preserve"> REF _Ref111194077 \h </w:instrText>
      </w:r>
      <w:r w:rsidR="00081F1B">
        <w:fldChar w:fldCharType="separate"/>
      </w:r>
      <w:r w:rsidR="0017693B">
        <w:t xml:space="preserve">Figure </w:t>
      </w:r>
      <w:r w:rsidR="0017693B">
        <w:rPr>
          <w:noProof/>
        </w:rPr>
        <w:t>1</w:t>
      </w:r>
      <w:r w:rsidR="00081F1B">
        <w:fldChar w:fldCharType="end"/>
      </w:r>
      <w:r w:rsidR="00FD7A7B">
        <w:t>, such that it is allocated after the SL communication resources and separated with a guard period (GP).</w:t>
      </w:r>
      <w:r w:rsidR="00542A68">
        <w:t xml:space="preserve"> The GP is needed to avoid</w:t>
      </w:r>
      <w:r w:rsidR="002E01B8">
        <w:t>/minimize</w:t>
      </w:r>
      <w:r w:rsidR="00542A68">
        <w:t xml:space="preserve"> any </w:t>
      </w:r>
      <w:r w:rsidR="002E01B8">
        <w:t xml:space="preserve">potential </w:t>
      </w:r>
      <w:r w:rsidR="00542A68">
        <w:t xml:space="preserve">interference of SL communication to </w:t>
      </w:r>
      <w:r w:rsidR="002E01B8">
        <w:t>SL positioning.</w:t>
      </w:r>
    </w:p>
    <w:p w14:paraId="3AED21D6" w14:textId="4037D419" w:rsidR="00CB7AA5" w:rsidRDefault="00781AC3" w:rsidP="00781AC3">
      <w:pPr>
        <w:jc w:val="center"/>
      </w:pPr>
      <w:r w:rsidRPr="00781AC3">
        <w:rPr>
          <w:noProof/>
        </w:rPr>
        <w:drawing>
          <wp:inline distT="0" distB="0" distL="0" distR="0" wp14:anchorId="5DD40B5B" wp14:editId="4AB06C43">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65BAFD24" w14:textId="6F3F6796" w:rsidR="00513F09" w:rsidRDefault="00CB7AA5">
      <w:pPr>
        <w:pStyle w:val="Caption"/>
        <w:jc w:val="center"/>
      </w:pPr>
      <w:bookmarkStart w:id="9" w:name="_Ref111194077"/>
      <w:r>
        <w:lastRenderedPageBreak/>
        <w:t xml:space="preserve">Figure </w:t>
      </w:r>
      <w:r>
        <w:fldChar w:fldCharType="begin"/>
      </w:r>
      <w:r>
        <w:instrText>SEQ Figure \* ARABIC</w:instrText>
      </w:r>
      <w:r>
        <w:fldChar w:fldCharType="separate"/>
      </w:r>
      <w:r w:rsidR="0017693B">
        <w:rPr>
          <w:noProof/>
        </w:rPr>
        <w:t>1</w:t>
      </w:r>
      <w:r>
        <w:fldChar w:fldCharType="end"/>
      </w:r>
      <w:bookmarkEnd w:id="9"/>
      <w:r>
        <w:t xml:space="preserve">: Illustration of </w:t>
      </w:r>
      <w:r w:rsidR="004A10FE">
        <w:t xml:space="preserve">shared resource pool for </w:t>
      </w:r>
      <w:r w:rsidR="00416960">
        <w:t>SL communication and SL positioning.</w:t>
      </w:r>
    </w:p>
    <w:p w14:paraId="70367BA2" w14:textId="58C4FAA2" w:rsidR="00940E23" w:rsidRDefault="003720B9" w:rsidP="008213F2">
      <w:pPr>
        <w:pStyle w:val="Caption"/>
      </w:pPr>
      <w:bookmarkStart w:id="10" w:name="_Toc111194525"/>
      <w:bookmarkStart w:id="11" w:name="_Toc115439757"/>
      <w:bookmarkStart w:id="12" w:name="_Toc118724192"/>
      <w:r>
        <w:t xml:space="preserve">Proposal </w:t>
      </w:r>
      <w:r>
        <w:fldChar w:fldCharType="begin"/>
      </w:r>
      <w:r>
        <w:instrText>SEQ Proposal \* ARABIC</w:instrText>
      </w:r>
      <w:r>
        <w:fldChar w:fldCharType="separate"/>
      </w:r>
      <w:r w:rsidR="0017693B">
        <w:rPr>
          <w:noProof/>
        </w:rPr>
        <w:t>5</w:t>
      </w:r>
      <w:r>
        <w:fldChar w:fldCharType="end"/>
      </w:r>
      <w:r w:rsidRPr="00B00728">
        <w:t>: SL-PRS can be allocated within a resource pool and separated with a guard period.</w:t>
      </w:r>
      <w:bookmarkEnd w:id="10"/>
      <w:bookmarkEnd w:id="11"/>
      <w:bookmarkEnd w:id="12"/>
    </w:p>
    <w:p w14:paraId="4C3EF6EA" w14:textId="2DE56463" w:rsidR="002E01B8" w:rsidRPr="0023408B" w:rsidRDefault="002E01B8" w:rsidP="00D5510F">
      <w:pPr>
        <w:jc w:val="both"/>
        <w:rPr>
          <w:b/>
          <w:bCs/>
        </w:rPr>
      </w:pPr>
    </w:p>
    <w:p w14:paraId="2094E947" w14:textId="32BDD2EA"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/triggering of SL-PRS were also discussed in RAN1#109e.</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expected to not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46BE412F"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w:t>
      </w:r>
      <w:r w:rsidR="008A079F">
        <w:rPr>
          <w:lang w:eastAsia="x-none"/>
        </w:rPr>
        <w:t>This</w:t>
      </w:r>
      <w:r w:rsidR="00D72B1B">
        <w:rPr>
          <w:lang w:eastAsia="x-none"/>
        </w:rPr>
        <w:t xml:space="preserve"> information</w:t>
      </w:r>
      <w:r w:rsidR="00A703CA">
        <w:rPr>
          <w:lang w:eastAsia="x-none"/>
        </w:rPr>
        <w:t xml:space="preserve"> can be conveyed via lower layer signalling, such as </w:t>
      </w:r>
      <w:r w:rsidR="003D27DC">
        <w:rPr>
          <w:lang w:eastAsia="x-none"/>
        </w:rPr>
        <w:t xml:space="preserve">SL-MAC-CE, DCI. </w:t>
      </w:r>
      <w:r w:rsidR="008A079F">
        <w:rPr>
          <w:lang w:eastAsia="x-none"/>
        </w:rPr>
        <w:t>Alternatively, it</w:t>
      </w:r>
      <w:r w:rsidR="00F5609D">
        <w:rPr>
          <w:lang w:eastAsia="x-none"/>
        </w:rPr>
        <w:t xml:space="preserve"> can also </w:t>
      </w:r>
      <w:r w:rsidR="008A079F">
        <w:rPr>
          <w:lang w:eastAsia="x-none"/>
        </w:rPr>
        <w:t xml:space="preserve">be carried by </w:t>
      </w:r>
      <w:r w:rsidR="00F5609D">
        <w:rPr>
          <w:lang w:eastAsia="x-none"/>
        </w:rPr>
        <w:t xml:space="preserve">SCI, in case the TX-SL-UE convey </w:t>
      </w:r>
      <w:r w:rsidR="00DC6C77">
        <w:rPr>
          <w:lang w:eastAsia="x-none"/>
        </w:rPr>
        <w:t>the information to RX-SL-UE.</w:t>
      </w:r>
    </w:p>
    <w:p w14:paraId="532987D0" w14:textId="5207CD2C" w:rsidR="00B75DED" w:rsidRDefault="00507D7C" w:rsidP="00D9242B">
      <w:pPr>
        <w:pStyle w:val="Caption"/>
        <w:rPr>
          <w:lang w:eastAsia="x-none"/>
        </w:rPr>
      </w:pPr>
      <w:bookmarkStart w:id="13" w:name="_Toc111194526"/>
      <w:bookmarkStart w:id="14" w:name="_Toc115439758"/>
      <w:bookmarkStart w:id="15" w:name="_Toc118724193"/>
      <w:r>
        <w:t xml:space="preserve">Proposal </w:t>
      </w:r>
      <w:r>
        <w:fldChar w:fldCharType="begin"/>
      </w:r>
      <w:r>
        <w:instrText>SEQ Proposal \* ARABIC</w:instrText>
      </w:r>
      <w:r>
        <w:fldChar w:fldCharType="separate"/>
      </w:r>
      <w:r w:rsidR="0017693B">
        <w:rPr>
          <w:noProof/>
        </w:rPr>
        <w:t>6</w:t>
      </w:r>
      <w:r>
        <w:fldChar w:fldCharType="end"/>
      </w:r>
      <w:r w:rsidRPr="00FD035D">
        <w:t>: Support high-layer and lower-layer signalling involvement in the SL-PRS configuration.</w:t>
      </w:r>
      <w:bookmarkEnd w:id="13"/>
      <w:bookmarkEnd w:id="14"/>
      <w:bookmarkEnd w:id="15"/>
    </w:p>
    <w:p w14:paraId="7DF94E65" w14:textId="77777777" w:rsidR="00507D7C" w:rsidRPr="00E137B6" w:rsidRDefault="00507D7C" w:rsidP="00D5510F">
      <w:pPr>
        <w:jc w:val="both"/>
        <w:rPr>
          <w:b/>
          <w:bCs/>
        </w:rPr>
      </w:pPr>
    </w:p>
    <w:p w14:paraId="3E21BA9A" w14:textId="3D8FFBEF" w:rsidR="00E137B6" w:rsidRDefault="00CD1303" w:rsidP="00D5510F">
      <w:pPr>
        <w:jc w:val="both"/>
      </w:pPr>
      <w:r>
        <w:t xml:space="preserve">In </w:t>
      </w:r>
      <w:r w:rsidR="00507D7C">
        <w:t>SL M</w:t>
      </w:r>
      <w:r>
        <w:t>ode 1, t</w:t>
      </w:r>
      <w:r w:rsidR="0032275C">
        <w:t>he above high and lower layer signalling is expected to be provided from serving gNB to the UE.</w:t>
      </w:r>
      <w:r w:rsidR="00663AAA">
        <w:t xml:space="preserve"> High layer configuration can also be provided by LMF. However, we consider the serving gNB </w:t>
      </w:r>
      <w:r w:rsidR="00140832">
        <w:t>has a better knowledge in term of the current cell resource utilization. Hence, we prefer the serving gNB to provide such signalling.</w:t>
      </w:r>
      <w:r w:rsidR="005432CF">
        <w:t xml:space="preserve"> </w:t>
      </w:r>
      <w:r w:rsidR="00B278AF">
        <w:t>In the last meeting, it was discussed</w:t>
      </w:r>
      <w:r w:rsidR="009C1C07">
        <w:t xml:space="preserve"> </w:t>
      </w:r>
      <w:r w:rsidR="00436887" w:rsidRPr="00B36932">
        <w:t>a transmitting UE receives a SL-PRS resource allocation signaling from the network.</w:t>
      </w:r>
      <w:r w:rsidR="009C1C07">
        <w:t xml:space="preserve"> The</w:t>
      </w:r>
      <w:r w:rsidR="00197F5B">
        <w:t xml:space="preserve"> </w:t>
      </w:r>
      <w:r w:rsidR="00F53C18" w:rsidRPr="00B36932">
        <w:t>SL-PRS resource allocation</w:t>
      </w:r>
      <w:r w:rsidR="00197F5B">
        <w:t xml:space="preserve"> can come from LMF </w:t>
      </w:r>
      <w:r w:rsidR="00F53C18">
        <w:t>and/</w:t>
      </w:r>
      <w:r w:rsidR="00197F5B">
        <w:t>or</w:t>
      </w:r>
      <w:r w:rsidR="00F53C18">
        <w:t xml:space="preserve"> </w:t>
      </w:r>
      <w:r w:rsidR="008E3593">
        <w:t>from gNB.</w:t>
      </w:r>
      <w:r w:rsidR="00E05B59">
        <w:t xml:space="preserve"> In this context, we prefer the </w:t>
      </w:r>
      <w:r w:rsidR="004D01E5">
        <w:t xml:space="preserve">configuration comes from gNB. This is quite similar operation as the SRS resource allocation where the </w:t>
      </w:r>
      <w:r w:rsidR="00555DD0">
        <w:t>configuration comes from the serving gNB.</w:t>
      </w:r>
      <w:r w:rsidR="00197F5B">
        <w:t xml:space="preserve"> </w:t>
      </w:r>
    </w:p>
    <w:p w14:paraId="6CCE588A" w14:textId="1CEC7A9D" w:rsidR="005432CF" w:rsidRDefault="005432CF" w:rsidP="00D9242B">
      <w:pPr>
        <w:pStyle w:val="Caption"/>
      </w:pPr>
      <w:bookmarkStart w:id="16" w:name="_Toc118724194"/>
      <w:bookmarkStart w:id="17" w:name="_Toc111194527"/>
      <w:bookmarkStart w:id="18" w:name="_Toc115439759"/>
      <w:r>
        <w:t xml:space="preserve">Proposal </w:t>
      </w:r>
      <w:r>
        <w:fldChar w:fldCharType="begin"/>
      </w:r>
      <w:r>
        <w:instrText>SEQ Proposal \* ARABIC</w:instrText>
      </w:r>
      <w:r>
        <w:fldChar w:fldCharType="separate"/>
      </w:r>
      <w:r w:rsidR="0017693B">
        <w:rPr>
          <w:noProof/>
        </w:rPr>
        <w:t>7</w:t>
      </w:r>
      <w:r>
        <w:fldChar w:fldCharType="end"/>
      </w:r>
      <w:r w:rsidRPr="00A47007">
        <w:t xml:space="preserve">: </w:t>
      </w:r>
      <w:r w:rsidR="00622F35">
        <w:t>A</w:t>
      </w:r>
      <w:r w:rsidR="00622F35" w:rsidRPr="00B36932">
        <w:t xml:space="preserve"> transmitting UE receives a SL-PRS resource allocation signaling from</w:t>
      </w:r>
      <w:r w:rsidR="00622F35">
        <w:t xml:space="preserve"> gNB (e.g., </w:t>
      </w:r>
      <w:r w:rsidR="00622F35" w:rsidRPr="00B36932">
        <w:rPr>
          <w:szCs w:val="20"/>
        </w:rPr>
        <w:t xml:space="preserve">through Dynamic grant, or through configured grant type 1/type 2 </w:t>
      </w:r>
      <w:r w:rsidR="00622F35">
        <w:rPr>
          <w:szCs w:val="20"/>
        </w:rPr>
        <w:t>)</w:t>
      </w:r>
      <w:bookmarkEnd w:id="16"/>
      <w:bookmarkEnd w:id="17"/>
      <w:bookmarkEnd w:id="18"/>
    </w:p>
    <w:p w14:paraId="7969FF28" w14:textId="37902684" w:rsidR="009E36EA" w:rsidRPr="00A962E0" w:rsidRDefault="009E36EA" w:rsidP="00D5510F">
      <w:pPr>
        <w:jc w:val="both"/>
        <w:rPr>
          <w:b/>
          <w:bCs/>
          <w:lang w:val="en-US"/>
        </w:rPr>
      </w:pPr>
    </w:p>
    <w:p w14:paraId="788078DC" w14:textId="599429C3" w:rsidR="000D0388" w:rsidRDefault="00D14F68" w:rsidP="00D5510F">
      <w:pPr>
        <w:jc w:val="both"/>
        <w:rPr>
          <w:lang w:val="en-US"/>
        </w:rPr>
      </w:pPr>
      <w:r>
        <w:rPr>
          <w:lang w:val="en-US"/>
        </w:rPr>
        <w:t xml:space="preserve">In V2X positioning or </w:t>
      </w:r>
      <w:r w:rsidR="00883E09">
        <w:rPr>
          <w:lang w:val="en-US"/>
        </w:rPr>
        <w:t>a</w:t>
      </w:r>
      <w:r w:rsidR="00EF3DBE">
        <w:rPr>
          <w:lang w:val="en-US"/>
        </w:rPr>
        <w:t>n</w:t>
      </w:r>
      <w:r w:rsidR="00883E09">
        <w:rPr>
          <w:lang w:val="en-US"/>
        </w:rPr>
        <w:t xml:space="preserve">y other </w:t>
      </w:r>
      <w:r w:rsidR="001A2380">
        <w:rPr>
          <w:lang w:val="en-US"/>
        </w:rPr>
        <w:t xml:space="preserve">sidelink positioning </w:t>
      </w:r>
      <w:r w:rsidR="00883E09">
        <w:rPr>
          <w:lang w:val="en-US"/>
        </w:rPr>
        <w:t xml:space="preserve">use-cases, a UE may need to determine the </w:t>
      </w:r>
      <w:r w:rsidR="002162EA">
        <w:rPr>
          <w:lang w:val="en-US"/>
        </w:rPr>
        <w:t xml:space="preserve">distance to </w:t>
      </w:r>
      <w:r w:rsidR="00883E09">
        <w:rPr>
          <w:lang w:val="en-US"/>
        </w:rPr>
        <w:t>surrounding UEs</w:t>
      </w:r>
      <w:r w:rsidR="000A1A97">
        <w:rPr>
          <w:lang w:val="en-US"/>
        </w:rPr>
        <w:t>. For example, a moving vehicle needs to determine</w:t>
      </w:r>
      <w:r w:rsidR="001A2380">
        <w:rPr>
          <w:lang w:val="en-US"/>
        </w:rPr>
        <w:t xml:space="preserve"> whether there are surrounding </w:t>
      </w:r>
      <w:r w:rsidR="008E00E7">
        <w:rPr>
          <w:lang w:val="en-US"/>
        </w:rPr>
        <w:t>VRUs and the relative distance to those VRUs.</w:t>
      </w:r>
      <w:r w:rsidR="000B2B8C">
        <w:rPr>
          <w:lang w:val="en-US"/>
        </w:rPr>
        <w:t xml:space="preserve"> The determination operation should be performed in a quick manner. Hence, in case one or more VRUs are</w:t>
      </w:r>
      <w:r w:rsidR="00FF7471">
        <w:rPr>
          <w:lang w:val="en-US"/>
        </w:rPr>
        <w:t xml:space="preserve"> detected to be very close, </w:t>
      </w:r>
      <w:r w:rsidR="002162EA">
        <w:rPr>
          <w:lang w:val="en-US"/>
        </w:rPr>
        <w:t>t</w:t>
      </w:r>
      <w:r w:rsidR="00FF7471">
        <w:rPr>
          <w:lang w:val="en-US"/>
        </w:rPr>
        <w:t>he moving vehicle and/or VRUs can perform the necessary action to avoid potential collision.</w:t>
      </w:r>
      <w:r w:rsidR="00865F29">
        <w:rPr>
          <w:lang w:val="en-US"/>
        </w:rPr>
        <w:t xml:space="preserve"> The aforementioned determination of surrounding UEs (VRUs)</w:t>
      </w:r>
      <w:r w:rsidR="00023D44">
        <w:rPr>
          <w:lang w:val="en-US"/>
        </w:rPr>
        <w:t xml:space="preserve"> can be facilitated by allowing </w:t>
      </w:r>
      <w:r w:rsidR="005A5321">
        <w:rPr>
          <w:lang w:val="en-US"/>
        </w:rPr>
        <w:t xml:space="preserve">concurrent transmission of </w:t>
      </w:r>
      <w:r w:rsidR="00DA6672">
        <w:rPr>
          <w:lang w:val="en-US"/>
        </w:rPr>
        <w:t>SL-PRS</w:t>
      </w:r>
      <w:r w:rsidR="00EA49AB">
        <w:rPr>
          <w:lang w:val="en-US"/>
        </w:rPr>
        <w:t xml:space="preserve"> from multiple UEs.</w:t>
      </w:r>
      <w:r w:rsidR="00DA6672">
        <w:rPr>
          <w:lang w:val="en-US"/>
        </w:rPr>
        <w:t xml:space="preserve"> For example, multiple VRU(s) can transmit </w:t>
      </w:r>
      <w:r w:rsidR="005713E3">
        <w:rPr>
          <w:lang w:val="en-US"/>
        </w:rPr>
        <w:t>“</w:t>
      </w:r>
      <w:r w:rsidR="00444B1D">
        <w:rPr>
          <w:lang w:val="en-US"/>
        </w:rPr>
        <w:t>SL-PRS</w:t>
      </w:r>
      <w:r w:rsidR="005713E3">
        <w:rPr>
          <w:lang w:val="en-US"/>
        </w:rPr>
        <w:t>”</w:t>
      </w:r>
      <w:r w:rsidR="00444B1D">
        <w:rPr>
          <w:lang w:val="en-US"/>
        </w:rPr>
        <w:t xml:space="preserve"> concurrently and/or within the same set of resources.</w:t>
      </w:r>
      <w:r w:rsidR="009A7285">
        <w:rPr>
          <w:lang w:val="en-US"/>
        </w:rPr>
        <w:t xml:space="preserve"> The transmitted SL-PRS can be received</w:t>
      </w:r>
      <w:r w:rsidR="00135B80">
        <w:rPr>
          <w:lang w:val="en-US"/>
        </w:rPr>
        <w:t xml:space="preserve"> by moving vehicle(s), VRU(s), or RSU(s).</w:t>
      </w:r>
      <w:r w:rsidR="00325215">
        <w:rPr>
          <w:lang w:val="en-US"/>
        </w:rPr>
        <w:t xml:space="preserve"> The concurrent transmission of </w:t>
      </w:r>
      <w:r w:rsidR="005713E3">
        <w:rPr>
          <w:lang w:val="en-US"/>
        </w:rPr>
        <w:t>“</w:t>
      </w:r>
      <w:r w:rsidR="00325215">
        <w:rPr>
          <w:lang w:val="en-US"/>
        </w:rPr>
        <w:t>SL-PRS</w:t>
      </w:r>
      <w:r w:rsidR="005713E3">
        <w:rPr>
          <w:lang w:val="en-US"/>
        </w:rPr>
        <w:t>”</w:t>
      </w:r>
      <w:r w:rsidR="00325215">
        <w:rPr>
          <w:lang w:val="en-US"/>
        </w:rPr>
        <w:t xml:space="preserve"> can be arranged by allowing multiplexing </w:t>
      </w:r>
      <w:r w:rsidR="00CE56D8">
        <w:rPr>
          <w:lang w:val="en-US"/>
        </w:rPr>
        <w:t>of SL-</w:t>
      </w:r>
      <w:r w:rsidR="000B1E30">
        <w:rPr>
          <w:lang w:val="en-US"/>
        </w:rPr>
        <w:t>P</w:t>
      </w:r>
      <w:r w:rsidR="00CE56D8">
        <w:rPr>
          <w:lang w:val="en-US"/>
        </w:rPr>
        <w:t xml:space="preserve">RS from multiple UEs </w:t>
      </w:r>
      <w:r w:rsidR="00FA27EB">
        <w:rPr>
          <w:lang w:val="en-US"/>
        </w:rPr>
        <w:t xml:space="preserve">within a given set of resources </w:t>
      </w:r>
      <w:r w:rsidR="00CE56D8">
        <w:rPr>
          <w:lang w:val="en-US"/>
        </w:rPr>
        <w:t xml:space="preserve">(e.g., </w:t>
      </w:r>
      <w:r w:rsidR="00644BFF">
        <w:rPr>
          <w:lang w:val="en-US"/>
        </w:rPr>
        <w:t>time-division multiplexing (TDM), frequency-division multiplexing (FDM), and/or Code-division Multiplexing (CDM))</w:t>
      </w:r>
      <w:r w:rsidR="005432CF">
        <w:rPr>
          <w:lang w:val="en-US"/>
        </w:rPr>
        <w:t>.</w:t>
      </w:r>
    </w:p>
    <w:p w14:paraId="3FC3457E" w14:textId="50AEEF64" w:rsidR="005432CF" w:rsidRDefault="005432CF" w:rsidP="00D9242B">
      <w:pPr>
        <w:pStyle w:val="Caption"/>
        <w:rPr>
          <w:lang w:val="en-US"/>
        </w:rPr>
      </w:pPr>
      <w:bookmarkStart w:id="19" w:name="_Toc111194528"/>
      <w:bookmarkStart w:id="20" w:name="_Toc115439760"/>
      <w:bookmarkStart w:id="21" w:name="_Toc118724195"/>
      <w:r>
        <w:t xml:space="preserve">Proposal </w:t>
      </w:r>
      <w:r>
        <w:fldChar w:fldCharType="begin"/>
      </w:r>
      <w:r>
        <w:instrText>SEQ Proposal \* ARABIC</w:instrText>
      </w:r>
      <w:r>
        <w:fldChar w:fldCharType="separate"/>
      </w:r>
      <w:r w:rsidR="0017693B">
        <w:rPr>
          <w:noProof/>
        </w:rPr>
        <w:t>8</w:t>
      </w:r>
      <w:r>
        <w:fldChar w:fldCharType="end"/>
      </w:r>
      <w:r w:rsidRPr="007C0069">
        <w:t>: Consider supporting multiplexing of SL-PRS from multiple UEs within a given set of resources.</w:t>
      </w:r>
      <w:bookmarkEnd w:id="19"/>
      <w:bookmarkEnd w:id="20"/>
      <w:bookmarkEnd w:id="21"/>
    </w:p>
    <w:p w14:paraId="796C12B0" w14:textId="0A34E392" w:rsidR="00E7518F" w:rsidRDefault="0080171A" w:rsidP="0092555C">
      <w:pPr>
        <w:jc w:val="both"/>
        <w:rPr>
          <w:lang w:val="en-US"/>
        </w:rPr>
      </w:pPr>
      <w:r>
        <w:rPr>
          <w:lang w:val="en-US"/>
        </w:rPr>
        <w:t>Regarding the cast type of SL-PRS transmission</w:t>
      </w:r>
      <w:r w:rsidR="00EF3AA5">
        <w:rPr>
          <w:lang w:val="en-US"/>
        </w:rPr>
        <w:t>, unicast and groupcast have been identified to be feasible.</w:t>
      </w:r>
      <w:r w:rsidR="0096090D">
        <w:rPr>
          <w:lang w:val="en-US"/>
        </w:rPr>
        <w:t xml:space="preserve"> In our view, broadcast of SL-PRS transmission shall be supported. </w:t>
      </w:r>
      <w:r w:rsidR="00A00985">
        <w:rPr>
          <w:lang w:val="en-US"/>
        </w:rPr>
        <w:t>From system / deployment point of view, it would be beneficial if more UEs can utilize the transmitted of SL-PRS (i.e., broadcast SL-PRS). This increases the utilization of the SL-PRS transmission.</w:t>
      </w:r>
      <w:r w:rsidR="008F6EB2">
        <w:rPr>
          <w:lang w:val="en-US"/>
        </w:rPr>
        <w:t xml:space="preserve"> For example, broadcast SL-PRS can be transmitted from a RSU-type of UE.</w:t>
      </w:r>
      <w:r w:rsidR="007D30E5">
        <w:rPr>
          <w:lang w:val="en-US"/>
        </w:rPr>
        <w:t xml:space="preserve"> Broadcast SL-PRS transmission is at least feasible from RAN1 p</w:t>
      </w:r>
      <w:r w:rsidR="00BB323D">
        <w:rPr>
          <w:lang w:val="en-US"/>
        </w:rPr>
        <w:t>erspective. Other WGs (e.g., RAN2, SA2) should further study, such as on security aspect.</w:t>
      </w:r>
    </w:p>
    <w:p w14:paraId="5A7802A1" w14:textId="3DA42C5F" w:rsidR="008F6EB2" w:rsidRDefault="008F6EB2" w:rsidP="008F6EB2">
      <w:pPr>
        <w:pStyle w:val="Caption"/>
      </w:pPr>
      <w:bookmarkStart w:id="22" w:name="_Toc118724196"/>
      <w:r>
        <w:t xml:space="preserve">Proposal </w:t>
      </w:r>
      <w:fldSimple w:instr=" SEQ Proposal \* ARABIC ">
        <w:r w:rsidR="0017693B">
          <w:rPr>
            <w:noProof/>
          </w:rPr>
          <w:t>9</w:t>
        </w:r>
      </w:fldSimple>
      <w:r>
        <w:t xml:space="preserve">: </w:t>
      </w:r>
      <w:r w:rsidR="00BB323D">
        <w:t xml:space="preserve">Broadcast of SL-PRS </w:t>
      </w:r>
      <w:r w:rsidR="009D6E12">
        <w:t>can be beneficial and</w:t>
      </w:r>
      <w:r w:rsidR="00BB323D">
        <w:t xml:space="preserve"> supported</w:t>
      </w:r>
      <w:r w:rsidR="009D6E12">
        <w:t>, at least, from RAN1 perspective.</w:t>
      </w:r>
      <w:bookmarkEnd w:id="22"/>
    </w:p>
    <w:p w14:paraId="7F7FD4F0" w14:textId="77777777" w:rsidR="009D6E12" w:rsidRPr="005E5E24" w:rsidRDefault="009D6E12" w:rsidP="005E5E24"/>
    <w:p w14:paraId="18C1A6C4" w14:textId="5CFB9227" w:rsidR="001C2959" w:rsidRPr="00C24047" w:rsidRDefault="001C2959" w:rsidP="001C2959">
      <w:pPr>
        <w:pStyle w:val="Heading2"/>
      </w:pPr>
      <w:r>
        <w:t>Other Potential Solutions</w:t>
      </w:r>
    </w:p>
    <w:p w14:paraId="5B3C90C9" w14:textId="77777777" w:rsidR="008A1677" w:rsidRDefault="008A1677" w:rsidP="001C2959">
      <w:pPr>
        <w:jc w:val="both"/>
      </w:pPr>
    </w:p>
    <w:p w14:paraId="21B32503" w14:textId="64FEC6EC" w:rsidR="00835B84" w:rsidRDefault="00835B84" w:rsidP="00EE10A5">
      <w:pPr>
        <w:jc w:val="both"/>
      </w:pPr>
      <w:r>
        <w:lastRenderedPageBreak/>
        <w:t xml:space="preserve">Sidelink positioning </w:t>
      </w:r>
      <w:r w:rsidR="009276E0">
        <w:t xml:space="preserve">operation </w:t>
      </w:r>
      <w:r w:rsidR="00085882">
        <w:t>should</w:t>
      </w:r>
      <w:r>
        <w:t xml:space="preserve"> be</w:t>
      </w:r>
      <w:r w:rsidR="00085882">
        <w:t xml:space="preserve"> </w:t>
      </w:r>
      <w:r w:rsidR="009276E0">
        <w:t xml:space="preserve">supported when the UEs are out-of coverage or at least have the possibilities to perform </w:t>
      </w:r>
      <w:r w:rsidR="0001056E">
        <w:t>positioning procedure without the involvement of gNB.</w:t>
      </w:r>
      <w:r w:rsidR="00204F8B">
        <w:t xml:space="preserve"> In this context, the UEs </w:t>
      </w:r>
      <w:r w:rsidR="00925447">
        <w:t>can be</w:t>
      </w:r>
      <w:r w:rsidR="00204F8B">
        <w:t xml:space="preserve"> autonomously </w:t>
      </w:r>
      <w:r w:rsidR="00807C16">
        <w:t xml:space="preserve">receiving configuration </w:t>
      </w:r>
      <w:r w:rsidR="004E1B33">
        <w:t>for positioning procedure, performing positioning measurement, and reporting positioning measurement.</w:t>
      </w:r>
      <w:r w:rsidR="00970C67">
        <w:t xml:space="preserve"> Some kind of coordination among UEs </w:t>
      </w:r>
      <w:r w:rsidR="00530BDD">
        <w:t>is</w:t>
      </w:r>
      <w:r w:rsidR="00970C67">
        <w:t xml:space="preserve"> required</w:t>
      </w:r>
      <w:r w:rsidR="00183282">
        <w:t xml:space="preserve"> so that the sidelink positioning procedure can be performed efficiently. In RAN1#110, some aspects have been initially discussed, such as</w:t>
      </w:r>
      <w:r w:rsidR="00EE10A5">
        <w:t xml:space="preserve"> resource selection mechanism for SL-PRS, inter-UE coordination, and aspects for congestion control mechanisms for SL-PRS.</w:t>
      </w:r>
    </w:p>
    <w:p w14:paraId="33D43FB9" w14:textId="2F9B6813" w:rsidR="00EE10A5" w:rsidRDefault="00EE10A5" w:rsidP="00EE10A5">
      <w:pPr>
        <w:jc w:val="both"/>
      </w:pPr>
      <w:r>
        <w:t>IUC</w:t>
      </w:r>
      <w:r w:rsidR="007B1829">
        <w:t xml:space="preserve"> has been introduced in NR </w:t>
      </w:r>
      <w:r w:rsidR="003F2E9F">
        <w:t xml:space="preserve">sidelink with the main objective to </w:t>
      </w:r>
      <w:r w:rsidR="007B7528">
        <w:t xml:space="preserve">solve hidden-node issue. A similar concept can also be applied in </w:t>
      </w:r>
      <w:r w:rsidR="00DE5E3B">
        <w:t>sidelink positioning</w:t>
      </w:r>
      <w:r w:rsidR="00F168FD">
        <w:t xml:space="preserve">. In sidelink positioning, it will be beneficial to </w:t>
      </w:r>
      <w:r w:rsidR="00D90B8C">
        <w:t>trigger SL-PRS transmission from multiple UEs</w:t>
      </w:r>
      <w:r w:rsidR="00127205">
        <w:t xml:space="preserve"> assuming they are relatively close to each other.</w:t>
      </w:r>
      <w:r w:rsidR="007B4266">
        <w:t xml:space="preserve"> For example, </w:t>
      </w:r>
      <w:r w:rsidR="00EC4B9F">
        <w:t xml:space="preserve">any potential collisions </w:t>
      </w:r>
      <w:r w:rsidR="003A4CFD">
        <w:t>in the presence of multiple cars and VRU can be detected within a short time.</w:t>
      </w:r>
      <w:r w:rsidR="005D23DD">
        <w:t xml:space="preserve"> This can be facilitated by performing </w:t>
      </w:r>
      <w:r w:rsidR="00ED72FA">
        <w:t>inter-multiple UEs coordination.</w:t>
      </w:r>
      <w:r w:rsidR="00433249">
        <w:t xml:space="preserve"> One of the UE </w:t>
      </w:r>
      <w:r w:rsidR="00B5548D">
        <w:t xml:space="preserve">(e.g., RSU) </w:t>
      </w:r>
      <w:r w:rsidR="00433249">
        <w:t>can be used as a facilitator in term of coordinating, including allocating the resources for SL-PRS.</w:t>
      </w:r>
      <w:r w:rsidR="0050032E">
        <w:t xml:space="preserve"> The SL-PRS is transmitted by </w:t>
      </w:r>
      <w:r w:rsidR="00B5548D">
        <w:t>other RSUs</w:t>
      </w:r>
      <w:r w:rsidR="007F7D6D">
        <w:t xml:space="preserve"> after obtaining the SL-PRS configuration from the </w:t>
      </w:r>
      <w:r w:rsidR="00D62987">
        <w:t>facilitator</w:t>
      </w:r>
      <w:r w:rsidR="007F7D6D">
        <w:t xml:space="preserve">. Furthermore, the target UE </w:t>
      </w:r>
      <w:r w:rsidR="00A81F36">
        <w:t xml:space="preserve">to </w:t>
      </w:r>
      <w:r w:rsidR="007F7D6D">
        <w:t>perform positioning measurement is also receiving the SL-PRS configuration from the RSU-1.</w:t>
      </w:r>
      <w:r w:rsidR="009134F6">
        <w:t xml:space="preserve"> The detailed operation can be further studied.</w:t>
      </w:r>
    </w:p>
    <w:p w14:paraId="69DB9EC3" w14:textId="06F55E12" w:rsidR="00CC709A" w:rsidRDefault="00342AAD" w:rsidP="00342AAD">
      <w:pPr>
        <w:pStyle w:val="Caption"/>
      </w:pPr>
      <w:bookmarkStart w:id="23" w:name="_Toc115439761"/>
      <w:bookmarkStart w:id="24" w:name="_Toc118724197"/>
      <w:r>
        <w:t xml:space="preserve">Proposal </w:t>
      </w:r>
      <w:r>
        <w:fldChar w:fldCharType="begin"/>
      </w:r>
      <w:r>
        <w:instrText>SEQ Proposal \* ARABIC</w:instrText>
      </w:r>
      <w:r>
        <w:fldChar w:fldCharType="separate"/>
      </w:r>
      <w:r w:rsidR="0017693B">
        <w:rPr>
          <w:noProof/>
        </w:rPr>
        <w:t>10</w:t>
      </w:r>
      <w:r>
        <w:fldChar w:fldCharType="end"/>
      </w:r>
      <w:r>
        <w:t xml:space="preserve">: </w:t>
      </w:r>
      <w:r w:rsidR="002A7B11">
        <w:t xml:space="preserve">Consider inter-multiple UEs coordination </w:t>
      </w:r>
      <w:r w:rsidR="00EB6F64">
        <w:t xml:space="preserve">(i.e., similar concept as IUC) </w:t>
      </w:r>
      <w:r w:rsidR="002A7B11">
        <w:t xml:space="preserve">for sidelink positioning, especially in V2X </w:t>
      </w:r>
      <w:r w:rsidR="009C0AE9">
        <w:t>use-case.</w:t>
      </w:r>
      <w:bookmarkEnd w:id="23"/>
      <w:bookmarkEnd w:id="24"/>
    </w:p>
    <w:p w14:paraId="7F64D6B3" w14:textId="1D598996" w:rsidR="00311F36" w:rsidRDefault="00AD6130" w:rsidP="0092555C">
      <w:pPr>
        <w:jc w:val="both"/>
      </w:pPr>
      <w:r>
        <w:t xml:space="preserve">NR </w:t>
      </w:r>
      <w:r w:rsidR="00D9658F">
        <w:t xml:space="preserve">Positioning based on direct-link (Uu) has been well established since Rel-16. </w:t>
      </w:r>
      <w:r w:rsidR="00C3366F">
        <w:t xml:space="preserve">NR positioning is designed to support commercial requirements </w:t>
      </w:r>
      <w:r w:rsidR="00F91502">
        <w:t>that ha</w:t>
      </w:r>
      <w:r w:rsidR="00FD7FD0">
        <w:t>ve</w:t>
      </w:r>
      <w:r w:rsidR="00F91502">
        <w:t xml:space="preserve"> stringent positioning accuracy as required for certain Industrial IoT use-cases. </w:t>
      </w:r>
      <w:r w:rsidR="008D3F3B">
        <w:t>T</w:t>
      </w:r>
      <w:r w:rsidR="00F91502">
        <w:t xml:space="preserve">he required accuracy </w:t>
      </w:r>
      <w:r w:rsidR="00D650DD">
        <w:t xml:space="preserve">as introduced in Rel-17 </w:t>
      </w:r>
      <w:r w:rsidR="00F91502">
        <w:t>is in the order of 20 cm</w:t>
      </w:r>
      <w:r w:rsidR="00D650DD">
        <w:t xml:space="preserve"> which is quite challenging</w:t>
      </w:r>
      <w:r w:rsidR="00F91502">
        <w:t>.</w:t>
      </w:r>
      <w:r w:rsidR="00E352BB">
        <w:t xml:space="preserve"> The study of s</w:t>
      </w:r>
      <w:r w:rsidR="00A94254">
        <w:t xml:space="preserve">idelink positioning can be used to improve the overall positioning </w:t>
      </w:r>
      <w:r w:rsidR="00FA34D5">
        <w:t>accuracy.</w:t>
      </w:r>
      <w:r w:rsidR="008A2503">
        <w:t xml:space="preserve"> For example, if one of the UE is RSU in which </w:t>
      </w:r>
      <w:r w:rsidR="00F84263">
        <w:t xml:space="preserve">the location is known and the RSU has LOS component towards </w:t>
      </w:r>
      <w:r w:rsidR="00D25136">
        <w:t>the VRU or moving vehicle.</w:t>
      </w:r>
      <w:r w:rsidR="009A79FC">
        <w:t xml:space="preserve"> On the other hand, the LOS component from gNB in </w:t>
      </w:r>
      <w:r w:rsidR="00D71987">
        <w:t>direct link</w:t>
      </w:r>
      <w:r w:rsidR="00AD53A4">
        <w:t xml:space="preserve"> can be limited due to buildings and obstructions.</w:t>
      </w:r>
      <w:r w:rsidR="00EF6419">
        <w:t xml:space="preserve"> In this particular example, it would be beneficial to jointly utilize direct-link and sidelink</w:t>
      </w:r>
      <w:r w:rsidR="008A7296">
        <w:t xml:space="preserve"> for positioning estimation purpose.</w:t>
      </w:r>
      <w:r w:rsidR="00AD53A4">
        <w:t xml:space="preserve"> </w:t>
      </w:r>
    </w:p>
    <w:p w14:paraId="09B39B7A" w14:textId="448C2932" w:rsidR="005432CF" w:rsidRPr="00C248B9" w:rsidRDefault="005432CF" w:rsidP="00D9242B">
      <w:pPr>
        <w:pStyle w:val="Caption"/>
      </w:pPr>
      <w:bookmarkStart w:id="25" w:name="_Toc111194529"/>
      <w:bookmarkStart w:id="26" w:name="_Toc115439762"/>
      <w:bookmarkStart w:id="27" w:name="_Toc118724198"/>
      <w:r>
        <w:t xml:space="preserve">Proposal </w:t>
      </w:r>
      <w:r>
        <w:fldChar w:fldCharType="begin"/>
      </w:r>
      <w:r>
        <w:instrText>SEQ Proposal \* ARABIC</w:instrText>
      </w:r>
      <w:r>
        <w:fldChar w:fldCharType="separate"/>
      </w:r>
      <w:r w:rsidR="0017693B">
        <w:rPr>
          <w:noProof/>
        </w:rPr>
        <w:t>11</w:t>
      </w:r>
      <w:r>
        <w:fldChar w:fldCharType="end"/>
      </w:r>
      <w:r w:rsidRPr="00023A9F">
        <w:t>: Support hybrid positioning where the UE receives reference signal for positioning from both direct-link (Uu) and sidelink (PC5) and jointly utilize for positioning estimation purpose.</w:t>
      </w:r>
      <w:bookmarkEnd w:id="25"/>
      <w:bookmarkEnd w:id="26"/>
      <w:bookmarkEnd w:id="27"/>
    </w:p>
    <w:p w14:paraId="1BCB6585" w14:textId="77777777" w:rsidR="009364FB" w:rsidRDefault="009364FB" w:rsidP="009A4424">
      <w:pPr>
        <w:spacing w:after="0"/>
        <w:jc w:val="both"/>
        <w:rPr>
          <w:lang w:val="en-US"/>
        </w:rPr>
      </w:pPr>
    </w:p>
    <w:p w14:paraId="3AB49AED" w14:textId="7774CF72" w:rsidR="009A4424" w:rsidRDefault="009A4424" w:rsidP="009A4424">
      <w:pPr>
        <w:spacing w:after="0"/>
        <w:jc w:val="both"/>
        <w:rPr>
          <w:lang w:val="en-US"/>
        </w:rPr>
      </w:pPr>
      <w:r>
        <w:rPr>
          <w:lang w:val="en-US"/>
        </w:rPr>
        <w:t>One of the challeng</w:t>
      </w:r>
      <w:r w:rsidR="00634CA3">
        <w:rPr>
          <w:lang w:val="en-US"/>
        </w:rPr>
        <w:t>es</w:t>
      </w:r>
      <w:r>
        <w:rPr>
          <w:lang w:val="en-US"/>
        </w:rPr>
        <w:t xml:space="preserve"> for positioning in V2X use-cases is to handle </w:t>
      </w:r>
      <w:r w:rsidR="00D1521F">
        <w:rPr>
          <w:lang w:val="en-US"/>
        </w:rPr>
        <w:t xml:space="preserve">positioning with </w:t>
      </w:r>
      <w:r>
        <w:rPr>
          <w:lang w:val="en-US"/>
        </w:rPr>
        <w:t xml:space="preserve">Vulnerable Road User (VRU). This is one of the scenarios that has been identified by 5GAA as shown in </w:t>
      </w:r>
      <w:r w:rsidR="00FD0B1F">
        <w:rPr>
          <w:lang w:val="en-US"/>
        </w:rPr>
        <w:t>Figure 2</w:t>
      </w:r>
      <w:r>
        <w:rPr>
          <w:lang w:val="en-US"/>
        </w:rPr>
        <w:t>.</w:t>
      </w:r>
    </w:p>
    <w:p w14:paraId="3DA841A0" w14:textId="77777777" w:rsidR="009A4424" w:rsidRDefault="009A4424" w:rsidP="009A4424">
      <w:pPr>
        <w:spacing w:after="0"/>
        <w:jc w:val="both"/>
        <w:rPr>
          <w:lang w:val="en-US"/>
        </w:rPr>
      </w:pPr>
    </w:p>
    <w:p w14:paraId="7AEA748F" w14:textId="77777777" w:rsidR="009A4424" w:rsidRDefault="009A4424" w:rsidP="009A4424">
      <w:pPr>
        <w:keepNext/>
        <w:spacing w:after="0"/>
        <w:jc w:val="center"/>
      </w:pPr>
      <w:r w:rsidRPr="004C6AC7">
        <w:rPr>
          <w:noProof/>
          <w:lang w:val="en-US"/>
        </w:rPr>
        <w:lastRenderedPageBreak/>
        <w:drawing>
          <wp:inline distT="0" distB="0" distL="0" distR="0" wp14:anchorId="2A431ED8" wp14:editId="0556FD82">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4369531" cy="5317900"/>
                    </a:xfrm>
                    <a:prstGeom prst="rect">
                      <a:avLst/>
                    </a:prstGeom>
                  </pic:spPr>
                </pic:pic>
              </a:graphicData>
            </a:graphic>
          </wp:inline>
        </w:drawing>
      </w:r>
    </w:p>
    <w:p w14:paraId="0F867F33" w14:textId="477F0216" w:rsidR="009A4424" w:rsidRPr="00221030" w:rsidRDefault="009A4424" w:rsidP="009A4424">
      <w:pPr>
        <w:pStyle w:val="Caption"/>
        <w:jc w:val="center"/>
        <w:rPr>
          <w:i/>
          <w:iCs/>
          <w:lang w:val="en-US"/>
        </w:rPr>
      </w:pPr>
      <w:bookmarkStart w:id="28"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sidR="0017693B">
        <w:rPr>
          <w:noProof/>
          <w:lang w:val="en-US"/>
        </w:rPr>
        <w:t>2</w:t>
      </w:r>
      <w:r w:rsidRPr="00221030">
        <w:rPr>
          <w:i/>
          <w:iCs/>
          <w:lang w:val="en-US"/>
        </w:rPr>
        <w:fldChar w:fldCharType="end"/>
      </w:r>
      <w:bookmarkEnd w:id="28"/>
      <w:r w:rsidRPr="00221030">
        <w:rPr>
          <w:lang w:val="en-US"/>
        </w:rPr>
        <w:t>: Illustration of VRU</w:t>
      </w:r>
      <w:r>
        <w:rPr>
          <w:lang w:val="en-US"/>
        </w:rPr>
        <w:t xml:space="preserve">, ref. </w:t>
      </w:r>
      <w:r w:rsidRPr="00C26EDA">
        <w:rPr>
          <w:lang w:val="en-US"/>
        </w:rPr>
        <w:t>5GAA Technical report on C-V2X Use Cases and Service Level Requirements Volume I</w:t>
      </w:r>
    </w:p>
    <w:p w14:paraId="28F4DBF7" w14:textId="77777777" w:rsidR="009364FB" w:rsidRDefault="009364FB" w:rsidP="009A4424">
      <w:pPr>
        <w:spacing w:after="0"/>
        <w:jc w:val="both"/>
        <w:rPr>
          <w:lang w:val="en-US"/>
        </w:rPr>
      </w:pPr>
    </w:p>
    <w:p w14:paraId="703B3B5A" w14:textId="0F9FF391" w:rsidR="005432CF" w:rsidRDefault="009A4424" w:rsidP="00D9242B">
      <w:pPr>
        <w:jc w:val="both"/>
        <w:rPr>
          <w:lang w:val="en-US"/>
        </w:rPr>
      </w:pPr>
      <w:r>
        <w:rPr>
          <w:lang w:val="en-US"/>
        </w:rPr>
        <w:t xml:space="preserve">In </w:t>
      </w:r>
      <w:r w:rsidR="00FD0B1F">
        <w:rPr>
          <w:lang w:val="en-US"/>
        </w:rPr>
        <w:t>Figure 2</w:t>
      </w:r>
      <w:r>
        <w:rPr>
          <w:lang w:val="en-US"/>
        </w:rPr>
        <w:t>, the main purpose is to alert vehicle (H</w:t>
      </w:r>
      <w:r w:rsidR="006C1641">
        <w:rPr>
          <w:lang w:val="en-US"/>
        </w:rPr>
        <w:t xml:space="preserve">ost </w:t>
      </w:r>
      <w:r>
        <w:rPr>
          <w:lang w:val="en-US"/>
        </w:rPr>
        <w:t>V</w:t>
      </w:r>
      <w:r w:rsidR="006C1641">
        <w:rPr>
          <w:lang w:val="en-US"/>
        </w:rPr>
        <w:t>ehicle - HV</w:t>
      </w:r>
      <w:r>
        <w:rPr>
          <w:lang w:val="en-US"/>
        </w:rPr>
        <w:t xml:space="preserve">) of VRUs approaching the road or crossing an intersection and warn of any risk of collision. Hence, to provide safety, typically in the road or crossing, there is a </w:t>
      </w:r>
      <w:r w:rsidR="00FD0B1F">
        <w:rPr>
          <w:lang w:val="en-US"/>
        </w:rPr>
        <w:t>road side</w:t>
      </w:r>
      <w:r>
        <w:rPr>
          <w:lang w:val="en-US"/>
        </w:rPr>
        <w:t xml:space="preserve"> unit (RSU) that can be in a form of road sign or traffic light. In V2X context, HV, VRU and RSU are equipped with communication module that can support both Uu and PC5 interfaces. In order to avoid the collision, the position of VRU and HV should be known</w:t>
      </w:r>
      <w:r w:rsidR="00704611">
        <w:rPr>
          <w:lang w:val="en-US"/>
        </w:rPr>
        <w:t xml:space="preserve">, at least </w:t>
      </w:r>
      <w:r w:rsidR="0064285D">
        <w:rPr>
          <w:lang w:val="en-US"/>
        </w:rPr>
        <w:t>the</w:t>
      </w:r>
      <w:r w:rsidR="00704611">
        <w:rPr>
          <w:lang w:val="en-US"/>
        </w:rPr>
        <w:t xml:space="preserve"> relative </w:t>
      </w:r>
      <w:r w:rsidR="00FD0B1F">
        <w:rPr>
          <w:lang w:val="en-US"/>
        </w:rPr>
        <w:t>distance position</w:t>
      </w:r>
      <w:r w:rsidR="00B04480">
        <w:rPr>
          <w:lang w:val="en-US"/>
        </w:rPr>
        <w:t xml:space="preserve"> between VRU and HV</w:t>
      </w:r>
      <w:r>
        <w:rPr>
          <w:lang w:val="en-US"/>
        </w:rPr>
        <w:t xml:space="preserve">. </w:t>
      </w:r>
      <w:r w:rsidR="00B04480">
        <w:rPr>
          <w:lang w:val="en-US"/>
        </w:rPr>
        <w:t xml:space="preserve">If the relative distance is relatively close then </w:t>
      </w:r>
      <w:r w:rsidR="00E21907">
        <w:rPr>
          <w:lang w:val="en-US"/>
        </w:rPr>
        <w:t xml:space="preserve">a warning on potential collision message can be provided. </w:t>
      </w:r>
      <w:r>
        <w:rPr>
          <w:lang w:val="en-US"/>
        </w:rPr>
        <w:t>RSU can be used to assist the position of VRU and HV.</w:t>
      </w:r>
      <w:r w:rsidR="00DB5595">
        <w:rPr>
          <w:lang w:val="en-US"/>
        </w:rPr>
        <w:t xml:space="preserve"> The positioning estimation can be</w:t>
      </w:r>
      <w:r w:rsidR="006C1641">
        <w:rPr>
          <w:lang w:val="en-US"/>
        </w:rPr>
        <w:t xml:space="preserve"> performed in </w:t>
      </w:r>
      <w:r w:rsidR="00CC4833">
        <w:rPr>
          <w:lang w:val="en-US"/>
        </w:rPr>
        <w:t>VRU, HV, RSU, or LMF, depending on the context / purposes.</w:t>
      </w:r>
    </w:p>
    <w:p w14:paraId="552CBB84" w14:textId="0DF239DA" w:rsidR="009A4424" w:rsidRPr="009A4424" w:rsidRDefault="005432CF" w:rsidP="00D9242B">
      <w:pPr>
        <w:pStyle w:val="Caption"/>
        <w:rPr>
          <w:lang w:val="en-US"/>
        </w:rPr>
      </w:pPr>
      <w:bookmarkStart w:id="29" w:name="_Toc111194515"/>
      <w:bookmarkStart w:id="30" w:name="_Toc115427132"/>
      <w:r>
        <w:t xml:space="preserve">Observation </w:t>
      </w:r>
      <w:r>
        <w:fldChar w:fldCharType="begin"/>
      </w:r>
      <w:r>
        <w:instrText>SEQ Observation \* ARABIC</w:instrText>
      </w:r>
      <w:r>
        <w:fldChar w:fldCharType="separate"/>
      </w:r>
      <w:r w:rsidR="0017693B">
        <w:rPr>
          <w:noProof/>
        </w:rPr>
        <w:t>1</w:t>
      </w:r>
      <w:r>
        <w:fldChar w:fldCharType="end"/>
      </w:r>
      <w:r w:rsidRPr="00FD063D">
        <w:t>: In V2X scenario, some UE(s) may be stationary (e.g., a UE in RSU). This type of UE can be used to facilitate positioning procedure, such as to perform as reference UE for positioning.</w:t>
      </w:r>
      <w:bookmarkEnd w:id="29"/>
      <w:bookmarkEnd w:id="30"/>
    </w:p>
    <w:p w14:paraId="041710FC" w14:textId="25EA6BEE" w:rsidR="00374158" w:rsidRPr="00711CFC" w:rsidRDefault="00374158" w:rsidP="00D9242B">
      <w:pPr>
        <w:spacing w:before="240"/>
        <w:jc w:val="both"/>
        <w:rPr>
          <w:lang w:val="en-US"/>
        </w:rPr>
      </w:pPr>
      <w:r>
        <w:rPr>
          <w:lang w:val="en-US"/>
        </w:rPr>
        <w:t xml:space="preserve">The radio resources for the </w:t>
      </w:r>
      <w:r w:rsidR="00C25789">
        <w:rPr>
          <w:lang w:val="en-US"/>
        </w:rPr>
        <w:t>SL-PRS</w:t>
      </w:r>
      <w:r>
        <w:rPr>
          <w:lang w:val="en-US"/>
        </w:rPr>
        <w:t xml:space="preserve"> transmissions are limited. Furthermore, it should also consider the following c</w:t>
      </w:r>
      <w:r w:rsidRPr="00711CFC">
        <w:rPr>
          <w:lang w:val="en-US"/>
        </w:rPr>
        <w:t>ircumsta</w:t>
      </w:r>
      <w:r>
        <w:rPr>
          <w:lang w:val="en-US"/>
        </w:rPr>
        <w:t>nces</w:t>
      </w:r>
      <w:r w:rsidRPr="00711CFC">
        <w:rPr>
          <w:lang w:val="en-US"/>
        </w:rPr>
        <w:t>:</w:t>
      </w:r>
    </w:p>
    <w:p w14:paraId="03F33EA2" w14:textId="59CCB031" w:rsidR="00374158" w:rsidRPr="00711CFC" w:rsidRDefault="00374158">
      <w:pPr>
        <w:pStyle w:val="ListParagraph"/>
        <w:numPr>
          <w:ilvl w:val="0"/>
          <w:numId w:val="12"/>
        </w:numPr>
        <w:spacing w:after="0" w:line="276" w:lineRule="auto"/>
        <w:rPr>
          <w:lang w:val="en-US"/>
        </w:rPr>
      </w:pPr>
      <w:r w:rsidRPr="00711CFC">
        <w:rPr>
          <w:lang w:val="en-US"/>
        </w:rPr>
        <w:t>The need to perform positioning measurement and estimation in</w:t>
      </w:r>
      <w:r w:rsidR="00793661">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25B69157" w14:textId="77777777" w:rsidR="00374158" w:rsidRDefault="00374158">
      <w:pPr>
        <w:pStyle w:val="ListParagraph"/>
        <w:numPr>
          <w:ilvl w:val="0"/>
          <w:numId w:val="12"/>
        </w:numPr>
        <w:spacing w:after="0" w:line="276" w:lineRule="auto"/>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In one particular time, it can be many UEs (rush hours) and another particular time, it can be a few UEs (midnight time).</w:t>
      </w:r>
    </w:p>
    <w:p w14:paraId="74229939" w14:textId="77777777" w:rsidR="00374158" w:rsidRDefault="00374158" w:rsidP="0092555C">
      <w:pPr>
        <w:jc w:val="both"/>
        <w:rPr>
          <w:b/>
          <w:bCs/>
          <w:lang w:val="en-US"/>
        </w:rPr>
      </w:pPr>
    </w:p>
    <w:p w14:paraId="4C216207" w14:textId="3A84E72A" w:rsidR="005C18FE" w:rsidRDefault="00874B8A" w:rsidP="0092555C">
      <w:pPr>
        <w:jc w:val="both"/>
      </w:pPr>
      <w:r>
        <w:rPr>
          <w:lang w:val="en-US"/>
        </w:rPr>
        <w:lastRenderedPageBreak/>
        <w:t xml:space="preserve">The </w:t>
      </w:r>
      <w:r w:rsidR="00ED4867">
        <w:rPr>
          <w:lang w:val="en-US"/>
        </w:rPr>
        <w:t xml:space="preserve">usage of radio resources and the SL-PRS transmission should be controlled (e.g., by gNB) </w:t>
      </w:r>
      <w:r w:rsidR="00D9380D">
        <w:rPr>
          <w:lang w:val="en-US"/>
        </w:rPr>
        <w:t xml:space="preserve">so that sidelink-positioning can be used, particularly to support V2X use-cases (e.g., collision avoidance) where the positioning estimation shall be obtained in a timely manner. </w:t>
      </w:r>
      <w:r w:rsidR="00123762">
        <w:rPr>
          <w:lang w:val="en-US"/>
        </w:rPr>
        <w:t>N</w:t>
      </w:r>
      <w:r w:rsidR="00463819">
        <w:rPr>
          <w:lang w:val="en-US"/>
        </w:rPr>
        <w:t>etwork</w:t>
      </w:r>
      <w:r w:rsidR="00E103C3">
        <w:rPr>
          <w:lang w:val="en-US"/>
        </w:rPr>
        <w:t>-</w:t>
      </w:r>
      <w:r w:rsidR="00463819">
        <w:rPr>
          <w:lang w:val="en-US"/>
        </w:rPr>
        <w:t xml:space="preserve">controlled radio resources have been supported in legacy sidelink for communication and known as Mode-1. </w:t>
      </w:r>
      <w:r w:rsidR="005C18FE" w:rsidRPr="004B56A5">
        <w:rPr>
          <w:lang w:val="en-US"/>
        </w:rPr>
        <w:t xml:space="preserve">In a junction scenario and during rush hour, </w:t>
      </w:r>
      <w:r w:rsidR="004B56A5" w:rsidRPr="004B56A5">
        <w:rPr>
          <w:lang w:val="en-US"/>
        </w:rPr>
        <w:t>the number of VRUs are expected to be high.</w:t>
      </w:r>
      <w:r w:rsidR="004B56A5">
        <w:rPr>
          <w:lang w:val="en-US"/>
        </w:rPr>
        <w:t xml:space="preserve"> </w:t>
      </w:r>
      <w:r w:rsidR="002723D6">
        <w:rPr>
          <w:lang w:val="en-US"/>
        </w:rPr>
        <w:t>There should be a mechanism to control which UEs that are allowed to transmit.</w:t>
      </w:r>
      <w:r w:rsidR="008B3FA5">
        <w:rPr>
          <w:lang w:val="en-US"/>
        </w:rPr>
        <w:t xml:space="preserve"> For example, </w:t>
      </w:r>
      <w:r w:rsidR="0053478A">
        <w:rPr>
          <w:lang w:val="en-US"/>
        </w:rPr>
        <w:t>the RSUs can be configured to transmit SL-PRS and the VRUs</w:t>
      </w:r>
      <w:r w:rsidR="00940897">
        <w:rPr>
          <w:lang w:val="en-US"/>
        </w:rPr>
        <w:t xml:space="preserve"> are configured to receive SL-PRS. </w:t>
      </w:r>
      <w:r w:rsidR="00F06B58">
        <w:rPr>
          <w:lang w:val="en-US"/>
        </w:rPr>
        <w:t xml:space="preserve">Outside of </w:t>
      </w:r>
      <w:r w:rsidR="00940897">
        <w:rPr>
          <w:lang w:val="en-US"/>
        </w:rPr>
        <w:t>rush-</w:t>
      </w:r>
      <w:r w:rsidR="00F06B58">
        <w:rPr>
          <w:lang w:val="en-US"/>
        </w:rPr>
        <w:t>hours</w:t>
      </w:r>
      <w:r w:rsidR="00940897">
        <w:rPr>
          <w:lang w:val="en-US"/>
        </w:rPr>
        <w:t xml:space="preserve">, </w:t>
      </w:r>
      <w:r w:rsidR="006A4375">
        <w:rPr>
          <w:lang w:val="en-US"/>
        </w:rPr>
        <w:t xml:space="preserve">there could be the opposite case where VRUs are configured to transmit SL-PRS. In this example, </w:t>
      </w:r>
      <w:r w:rsidR="006A4375" w:rsidRPr="00920BFA">
        <w:t>UE-types classification for V2X positioning (e.g., RSU, VRU, Car)</w:t>
      </w:r>
      <w:r w:rsidR="00920BFA">
        <w:t xml:space="preserve"> can be beneficial for V2X positioning. RAN1 can consider </w:t>
      </w:r>
      <w:r w:rsidR="00643DE7">
        <w:t>sending</w:t>
      </w:r>
      <w:r w:rsidR="00920BFA">
        <w:t xml:space="preserve"> LS to RAN2 or SA2 with respect to this.</w:t>
      </w:r>
    </w:p>
    <w:p w14:paraId="699F8F3F" w14:textId="72D4541A" w:rsidR="005432CF" w:rsidRPr="004B56A5" w:rsidRDefault="005432CF" w:rsidP="00D9242B">
      <w:pPr>
        <w:pStyle w:val="Caption"/>
        <w:rPr>
          <w:lang w:val="en-US"/>
        </w:rPr>
      </w:pPr>
      <w:bookmarkStart w:id="31" w:name="_Toc111194530"/>
      <w:bookmarkStart w:id="32" w:name="_Toc115439763"/>
      <w:bookmarkStart w:id="33" w:name="_Toc118724199"/>
      <w:r>
        <w:t xml:space="preserve">Proposal </w:t>
      </w:r>
      <w:r>
        <w:fldChar w:fldCharType="begin"/>
      </w:r>
      <w:r>
        <w:instrText>SEQ Proposal \* ARABIC</w:instrText>
      </w:r>
      <w:r>
        <w:fldChar w:fldCharType="separate"/>
      </w:r>
      <w:r w:rsidR="0017693B">
        <w:rPr>
          <w:noProof/>
        </w:rPr>
        <w:t>12</w:t>
      </w:r>
      <w:r>
        <w:fldChar w:fldCharType="end"/>
      </w:r>
      <w:r w:rsidRPr="00315B8F">
        <w:t>: Consider supporting UE-types classification for V2X positioning (e.g., RSU, VRU, Car).</w:t>
      </w:r>
      <w:bookmarkEnd w:id="31"/>
      <w:bookmarkEnd w:id="32"/>
      <w:bookmarkEnd w:id="33"/>
    </w:p>
    <w:p w14:paraId="2C7B1B14" w14:textId="17A4F8F2" w:rsidR="00C248B9" w:rsidRDefault="00DC3566" w:rsidP="0092555C">
      <w:pPr>
        <w:jc w:val="both"/>
      </w:pPr>
      <w:r w:rsidRPr="00DC3566">
        <w:t xml:space="preserve">The concept of region / zone </w:t>
      </w:r>
      <w:r w:rsidR="00643DE7" w:rsidRPr="00DC3566">
        <w:t>has</w:t>
      </w:r>
      <w:r w:rsidRPr="00DC3566">
        <w:t xml:space="preserve"> been commonly used in sidelink for communication.</w:t>
      </w:r>
      <w:r>
        <w:t xml:space="preserve"> In a given </w:t>
      </w:r>
      <w:r w:rsidR="00327C24">
        <w:t xml:space="preserve">zone, a UE is expected to perform communication using a specific carrier frequency. Similar concept </w:t>
      </w:r>
      <w:r w:rsidR="00497DF5">
        <w:t>of region / zone can be applied for positioning purpose</w:t>
      </w:r>
      <w:r w:rsidR="00895F6A">
        <w:t xml:space="preserve">, such as to adapt </w:t>
      </w:r>
      <w:r w:rsidR="00895F6A" w:rsidRPr="00895F6A">
        <w:t>positioning procedure based on the region/zone of the UE.</w:t>
      </w:r>
      <w:r w:rsidR="00895F6A">
        <w:t xml:space="preserve"> For example, if a UE is in a cross-junction, the UE is expected to perform frequent </w:t>
      </w:r>
      <w:r w:rsidR="007F05A7">
        <w:t xml:space="preserve">positioning procedure (e.g., </w:t>
      </w:r>
      <w:r w:rsidR="00CE79ED">
        <w:t>positioning measurement / estimation)</w:t>
      </w:r>
      <w:r w:rsidR="009A2AE0">
        <w:t>, particularly to detect and avoid potential collision.</w:t>
      </w:r>
    </w:p>
    <w:p w14:paraId="47F2E2A6" w14:textId="3CD8DDD0" w:rsidR="00643DE7" w:rsidRDefault="005432CF" w:rsidP="00D9242B">
      <w:pPr>
        <w:pStyle w:val="Caption"/>
        <w:rPr>
          <w:lang w:val="en-US"/>
        </w:rPr>
      </w:pPr>
      <w:bookmarkStart w:id="34" w:name="_Toc111194531"/>
      <w:bookmarkStart w:id="35" w:name="_Toc115439764"/>
      <w:bookmarkStart w:id="36" w:name="_Toc118724200"/>
      <w:r>
        <w:t xml:space="preserve">Proposal </w:t>
      </w:r>
      <w:r>
        <w:fldChar w:fldCharType="begin"/>
      </w:r>
      <w:r>
        <w:instrText>SEQ Proposal \* ARABIC</w:instrText>
      </w:r>
      <w:r>
        <w:fldChar w:fldCharType="separate"/>
      </w:r>
      <w:r w:rsidR="0017693B">
        <w:rPr>
          <w:noProof/>
        </w:rPr>
        <w:t>13</w:t>
      </w:r>
      <w:r>
        <w:fldChar w:fldCharType="end"/>
      </w:r>
      <w:r w:rsidRPr="002D0AE8">
        <w:t>: Consider adapting positioning procedure based on the region/zone of the UE.</w:t>
      </w:r>
      <w:bookmarkEnd w:id="34"/>
      <w:bookmarkEnd w:id="35"/>
      <w:bookmarkEnd w:id="36"/>
    </w:p>
    <w:p w14:paraId="299708A1" w14:textId="09C27250" w:rsidR="002255E2" w:rsidRDefault="002255E2" w:rsidP="002255E2">
      <w:pPr>
        <w:spacing w:after="0"/>
        <w:jc w:val="both"/>
        <w:rPr>
          <w:lang w:val="en-US"/>
        </w:rPr>
      </w:pPr>
      <w:r>
        <w:rPr>
          <w:lang w:val="en-US"/>
        </w:rPr>
        <w:t>Sidelink positioning relies on the interaction, such as transmission and reception, between UEs. For example, a UE-A transmits SL-</w:t>
      </w:r>
      <w:r w:rsidR="0068089A">
        <w:rPr>
          <w:lang w:val="en-US"/>
        </w:rPr>
        <w:t>PRS,</w:t>
      </w:r>
      <w:r>
        <w:rPr>
          <w:lang w:val="en-US"/>
        </w:rPr>
        <w:t xml:space="preserve"> and another UE-B receives it and performs a positioning measurement. From the positioning measurement, the UE-B is expected to measure the relative position</w:t>
      </w:r>
      <w:r w:rsidR="00F15B4C">
        <w:rPr>
          <w:lang w:val="en-US"/>
        </w:rPr>
        <w:t xml:space="preserve"> from UE-B to UE-A.</w:t>
      </w:r>
    </w:p>
    <w:p w14:paraId="2232DEA8" w14:textId="77777777" w:rsidR="002255E2" w:rsidRDefault="002255E2" w:rsidP="002255E2">
      <w:pPr>
        <w:keepNext/>
        <w:spacing w:after="0"/>
        <w:jc w:val="center"/>
      </w:pPr>
      <w:r w:rsidRPr="002E02B3">
        <w:rPr>
          <w:noProof/>
          <w:lang w:val="en-US"/>
        </w:rPr>
        <w:drawing>
          <wp:inline distT="0" distB="0" distL="0" distR="0" wp14:anchorId="26120030" wp14:editId="00429E76">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2519475" cy="2507125"/>
                    </a:xfrm>
                    <a:prstGeom prst="rect">
                      <a:avLst/>
                    </a:prstGeom>
                  </pic:spPr>
                </pic:pic>
              </a:graphicData>
            </a:graphic>
          </wp:inline>
        </w:drawing>
      </w:r>
    </w:p>
    <w:p w14:paraId="1494A887" w14:textId="61C49987" w:rsidR="002255E2" w:rsidRPr="006E7AF5" w:rsidRDefault="002255E2" w:rsidP="002255E2">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17693B">
        <w:rPr>
          <w:noProof/>
          <w:lang w:val="en-US"/>
        </w:rPr>
        <w:t>3</w:t>
      </w:r>
      <w:r w:rsidRPr="006E7AF5">
        <w:rPr>
          <w:i/>
          <w:iCs/>
          <w:lang w:val="en-US"/>
        </w:rPr>
        <w:fldChar w:fldCharType="end"/>
      </w:r>
      <w:r w:rsidRPr="006E7AF5">
        <w:rPr>
          <w:lang w:val="en-US"/>
        </w:rPr>
        <w:t xml:space="preserve">: </w:t>
      </w:r>
      <w:r w:rsidR="00102E56">
        <w:rPr>
          <w:lang w:val="en-US"/>
        </w:rPr>
        <w:t xml:space="preserve">Illustration of </w:t>
      </w:r>
      <w:r w:rsidR="00794533">
        <w:rPr>
          <w:lang w:val="en-US"/>
        </w:rPr>
        <w:t>relative positioning without angle information</w:t>
      </w:r>
    </w:p>
    <w:p w14:paraId="6FAB0C3E" w14:textId="77777777" w:rsidR="002255E2" w:rsidRDefault="002255E2" w:rsidP="0092555C">
      <w:pPr>
        <w:jc w:val="both"/>
        <w:rPr>
          <w:b/>
          <w:bCs/>
        </w:rPr>
      </w:pPr>
    </w:p>
    <w:p w14:paraId="18227242" w14:textId="57BD85B3" w:rsidR="0087207E" w:rsidRDefault="00102E56" w:rsidP="0092555C">
      <w:pPr>
        <w:jc w:val="both"/>
        <w:rPr>
          <w:rFonts w:cstheme="minorHAnsi"/>
        </w:rPr>
      </w:pPr>
      <w:r>
        <w:rPr>
          <w:lang w:val="en-US"/>
        </w:rPr>
        <w:t>Obtaining the relative positioning and relative angle are needed in certain use-cases.</w:t>
      </w:r>
      <w:r w:rsidR="002540E4">
        <w:rPr>
          <w:lang w:val="en-US"/>
        </w:rPr>
        <w:t xml:space="preserve"> One of the use-cases</w:t>
      </w:r>
      <w:r w:rsidR="001C5ADB">
        <w:rPr>
          <w:lang w:val="en-US"/>
        </w:rPr>
        <w:t xml:space="preserve"> is the use-cases identified in ranging based service</w:t>
      </w:r>
      <w:r w:rsidR="003C3A60">
        <w:rPr>
          <w:lang w:val="en-US"/>
        </w:rPr>
        <w:t xml:space="preserve">s technical report </w:t>
      </w:r>
      <w:r w:rsidR="003C3A60">
        <w:rPr>
          <w:lang w:val="en-US"/>
        </w:rPr>
        <w:fldChar w:fldCharType="begin"/>
      </w:r>
      <w:r w:rsidR="003C3A60">
        <w:rPr>
          <w:lang w:val="en-US"/>
        </w:rPr>
        <w:instrText xml:space="preserve"> REF _Ref101778714 \r \h </w:instrText>
      </w:r>
      <w:r w:rsidR="003C3A60">
        <w:rPr>
          <w:lang w:val="en-US"/>
        </w:rPr>
      </w:r>
      <w:r w:rsidR="003C3A60">
        <w:rPr>
          <w:lang w:val="en-US"/>
        </w:rPr>
        <w:fldChar w:fldCharType="separate"/>
      </w:r>
      <w:r w:rsidR="0017693B">
        <w:rPr>
          <w:lang w:val="en-US"/>
        </w:rPr>
        <w:t>[7]</w:t>
      </w:r>
      <w:r w:rsidR="003C3A60">
        <w:rPr>
          <w:lang w:val="en-US"/>
        </w:rPr>
        <w:fldChar w:fldCharType="end"/>
      </w:r>
      <w:r w:rsidR="003C3A60">
        <w:rPr>
          <w:lang w:val="en-US"/>
        </w:rPr>
        <w:t xml:space="preserve">. Furthermore, </w:t>
      </w:r>
      <w:r w:rsidR="00200FA3">
        <w:rPr>
          <w:lang w:val="en-US"/>
        </w:rPr>
        <w:t xml:space="preserve">the work in SA2 </w:t>
      </w:r>
      <w:r w:rsidR="00200FA3">
        <w:rPr>
          <w:lang w:val="en-US"/>
        </w:rPr>
        <w:fldChar w:fldCharType="begin"/>
      </w:r>
      <w:r w:rsidR="00200FA3">
        <w:rPr>
          <w:lang w:val="en-US"/>
        </w:rPr>
        <w:instrText xml:space="preserve"> REF _Ref101778719 \r \h </w:instrText>
      </w:r>
      <w:r w:rsidR="00200FA3">
        <w:rPr>
          <w:lang w:val="en-US"/>
        </w:rPr>
      </w:r>
      <w:r w:rsidR="00200FA3">
        <w:rPr>
          <w:lang w:val="en-US"/>
        </w:rPr>
        <w:fldChar w:fldCharType="separate"/>
      </w:r>
      <w:r w:rsidR="0017693B">
        <w:rPr>
          <w:lang w:val="en-US"/>
        </w:rPr>
        <w:t>[8]</w:t>
      </w:r>
      <w:r w:rsidR="00200FA3">
        <w:rPr>
          <w:lang w:val="en-US"/>
        </w:rPr>
        <w:fldChar w:fldCharType="end"/>
      </w:r>
      <w:r w:rsidR="00DA1E10">
        <w:rPr>
          <w:lang w:val="en-US"/>
        </w:rPr>
        <w:t>, has identified</w:t>
      </w:r>
      <w:r w:rsidR="00D57DCB">
        <w:rPr>
          <w:lang w:val="en-US"/>
        </w:rPr>
        <w:t xml:space="preserve"> a key issue on supporting </w:t>
      </w:r>
      <w:r w:rsidR="001D7710">
        <w:rPr>
          <w:rFonts w:cstheme="minorHAnsi"/>
        </w:rPr>
        <w:t xml:space="preserve">ranging service operation procedure with the assistance of another UE. </w:t>
      </w:r>
      <w:r w:rsidR="00FD79BD">
        <w:rPr>
          <w:rFonts w:cstheme="minorHAnsi"/>
        </w:rPr>
        <w:t>The assistance of another UE can be used to estimate both relative positioning (distance) and angle</w:t>
      </w:r>
      <w:r w:rsidR="0087207E">
        <w:rPr>
          <w:rFonts w:cstheme="minorHAnsi"/>
        </w:rPr>
        <w:t xml:space="preserve"> as illustrated in </w:t>
      </w:r>
      <w:r w:rsidR="008C4C7C">
        <w:rPr>
          <w:rFonts w:cstheme="minorHAnsi"/>
        </w:rPr>
        <w:fldChar w:fldCharType="begin"/>
      </w:r>
      <w:r w:rsidR="008C4C7C">
        <w:rPr>
          <w:rFonts w:cstheme="minorHAnsi"/>
        </w:rPr>
        <w:instrText xml:space="preserve"> REF _Ref99115338 \h </w:instrText>
      </w:r>
      <w:r w:rsidR="008C4C7C">
        <w:rPr>
          <w:rFonts w:cstheme="minorHAnsi"/>
        </w:rPr>
      </w:r>
      <w:r w:rsidR="008C4C7C">
        <w:rPr>
          <w:rFonts w:cstheme="minorHAnsi"/>
        </w:rPr>
        <w:fldChar w:fldCharType="separate"/>
      </w:r>
      <w:r w:rsidR="0017693B" w:rsidRPr="006E7AF5">
        <w:rPr>
          <w:lang w:val="en-US"/>
        </w:rPr>
        <w:t xml:space="preserve">Figure </w:t>
      </w:r>
      <w:r w:rsidR="0017693B">
        <w:rPr>
          <w:noProof/>
          <w:lang w:val="en-US"/>
        </w:rPr>
        <w:t>4</w:t>
      </w:r>
      <w:r w:rsidR="008C4C7C">
        <w:rPr>
          <w:rFonts w:cstheme="minorHAnsi"/>
        </w:rPr>
        <w:fldChar w:fldCharType="end"/>
      </w:r>
      <w:r w:rsidR="008C4C7C">
        <w:rPr>
          <w:rFonts w:cstheme="minorHAnsi"/>
        </w:rPr>
        <w:t>.</w:t>
      </w:r>
      <w:r w:rsidR="00FD79BD">
        <w:rPr>
          <w:rFonts w:cstheme="minorHAnsi"/>
        </w:rPr>
        <w:t xml:space="preserve"> </w:t>
      </w:r>
    </w:p>
    <w:p w14:paraId="5F02C126" w14:textId="77777777" w:rsidR="0087207E" w:rsidRDefault="0087207E" w:rsidP="0087207E">
      <w:pPr>
        <w:keepNext/>
        <w:spacing w:after="0"/>
        <w:jc w:val="center"/>
      </w:pPr>
      <w:r>
        <w:rPr>
          <w:noProof/>
        </w:rPr>
        <w:lastRenderedPageBreak/>
        <w:drawing>
          <wp:inline distT="0" distB="0" distL="0" distR="0" wp14:anchorId="55B9CA9E" wp14:editId="539EE6C4">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a:stretch>
                      <a:fillRect/>
                    </a:stretch>
                  </pic:blipFill>
                  <pic:spPr>
                    <a:xfrm>
                      <a:off x="0" y="0"/>
                      <a:ext cx="2440546" cy="2830356"/>
                    </a:xfrm>
                    <a:prstGeom prst="rect">
                      <a:avLst/>
                    </a:prstGeom>
                  </pic:spPr>
                </pic:pic>
              </a:graphicData>
            </a:graphic>
          </wp:inline>
        </w:drawing>
      </w:r>
    </w:p>
    <w:p w14:paraId="07B8C066" w14:textId="6084B464" w:rsidR="0087207E" w:rsidRDefault="0087207E" w:rsidP="0087207E">
      <w:pPr>
        <w:pStyle w:val="Caption"/>
        <w:jc w:val="center"/>
        <w:rPr>
          <w:i/>
          <w:iCs/>
          <w:lang w:val="en-US"/>
        </w:rPr>
      </w:pPr>
      <w:bookmarkStart w:id="37"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17693B">
        <w:rPr>
          <w:noProof/>
          <w:lang w:val="en-US"/>
        </w:rPr>
        <w:t>4</w:t>
      </w:r>
      <w:r w:rsidRPr="006E7AF5">
        <w:rPr>
          <w:i/>
          <w:iCs/>
          <w:lang w:val="en-US"/>
        </w:rPr>
        <w:fldChar w:fldCharType="end"/>
      </w:r>
      <w:bookmarkEnd w:id="37"/>
      <w:r w:rsidRPr="006E7AF5">
        <w:rPr>
          <w:lang w:val="en-US"/>
        </w:rPr>
        <w:t xml:space="preserve">: </w:t>
      </w:r>
      <w:r>
        <w:rPr>
          <w:lang w:val="en-US"/>
        </w:rPr>
        <w:t xml:space="preserve">Illustration of ranging between host and target UEs, with help form an assistant UE. </w:t>
      </w:r>
    </w:p>
    <w:p w14:paraId="403F7F48" w14:textId="77777777" w:rsidR="0087207E" w:rsidRPr="0087207E" w:rsidRDefault="0087207E" w:rsidP="0092555C">
      <w:pPr>
        <w:jc w:val="both"/>
        <w:rPr>
          <w:rFonts w:cstheme="minorHAnsi"/>
          <w:lang w:val="en-US"/>
        </w:rPr>
      </w:pPr>
    </w:p>
    <w:p w14:paraId="1C993CFF" w14:textId="7B538872" w:rsidR="00102E56" w:rsidRDefault="001D7710" w:rsidP="0092555C">
      <w:pPr>
        <w:jc w:val="both"/>
        <w:rPr>
          <w:b/>
          <w:bCs/>
        </w:rPr>
      </w:pPr>
      <w:r>
        <w:rPr>
          <w:rFonts w:cstheme="minorHAnsi"/>
        </w:rPr>
        <w:t xml:space="preserve">We consider RAN1 should also study this aspect, particularly how </w:t>
      </w:r>
      <w:r w:rsidR="00672232">
        <w:rPr>
          <w:rFonts w:cstheme="minorHAnsi"/>
        </w:rPr>
        <w:t>the physical layer aspects</w:t>
      </w:r>
      <w:r w:rsidR="00FD79BD">
        <w:rPr>
          <w:rFonts w:cstheme="minorHAnsi"/>
        </w:rPr>
        <w:t xml:space="preserve"> and the </w:t>
      </w:r>
      <w:r w:rsidR="003A65DC">
        <w:rPr>
          <w:rFonts w:cstheme="minorHAnsi"/>
        </w:rPr>
        <w:t>interaction</w:t>
      </w:r>
      <w:r w:rsidR="00FD79BD">
        <w:rPr>
          <w:rFonts w:cstheme="minorHAnsi"/>
        </w:rPr>
        <w:t xml:space="preserve"> with higher layer can support</w:t>
      </w:r>
      <w:r>
        <w:rPr>
          <w:rFonts w:cstheme="minorHAnsi"/>
        </w:rPr>
        <w:t xml:space="preserve"> this procedure</w:t>
      </w:r>
      <w:r w:rsidR="00672232">
        <w:rPr>
          <w:rFonts w:cstheme="minorHAnsi"/>
        </w:rPr>
        <w:t>.</w:t>
      </w:r>
      <w:r w:rsidR="003C3A60">
        <w:rPr>
          <w:b/>
          <w:bCs/>
        </w:rPr>
        <w:t xml:space="preserve"> </w:t>
      </w:r>
    </w:p>
    <w:p w14:paraId="356101DD" w14:textId="1CBF0FA1" w:rsidR="00D057E3" w:rsidRDefault="005432CF" w:rsidP="00D9242B">
      <w:pPr>
        <w:pStyle w:val="Caption"/>
      </w:pPr>
      <w:bookmarkStart w:id="38" w:name="_Toc111194532"/>
      <w:bookmarkStart w:id="39" w:name="_Toc115439765"/>
      <w:bookmarkStart w:id="40" w:name="_Toc118724201"/>
      <w:r>
        <w:t xml:space="preserve">Proposal </w:t>
      </w:r>
      <w:r>
        <w:fldChar w:fldCharType="begin"/>
      </w:r>
      <w:r>
        <w:instrText>SEQ Proposal \* ARABIC</w:instrText>
      </w:r>
      <w:r>
        <w:fldChar w:fldCharType="separate"/>
      </w:r>
      <w:r w:rsidR="0017693B">
        <w:rPr>
          <w:noProof/>
        </w:rPr>
        <w:t>14</w:t>
      </w:r>
      <w:r>
        <w:fldChar w:fldCharType="end"/>
      </w:r>
      <w:r w:rsidRPr="00834902">
        <w:t>: Consider supporting positioning procedure with the assistance of another UE for the estimation of relative positioning and relative angle.</w:t>
      </w:r>
      <w:bookmarkEnd w:id="38"/>
      <w:bookmarkEnd w:id="39"/>
      <w:bookmarkEnd w:id="40"/>
    </w:p>
    <w:p w14:paraId="76D7DB67" w14:textId="4CADACDF" w:rsidR="00EA5A5B" w:rsidRDefault="00E40883" w:rsidP="005E5E24">
      <w:pPr>
        <w:jc w:val="both"/>
      </w:pPr>
      <w:r>
        <w:t xml:space="preserve">For </w:t>
      </w:r>
      <w:r w:rsidR="00531B82">
        <w:t xml:space="preserve">V2X </w:t>
      </w:r>
      <w:r>
        <w:t>r</w:t>
      </w:r>
      <w:r w:rsidR="00EF7F41">
        <w:t>anging</w:t>
      </w:r>
      <w:r w:rsidR="00531B82">
        <w:t xml:space="preserve"> direction measurement</w:t>
      </w:r>
      <w:r w:rsidR="00EF7F41">
        <w:t xml:space="preserve">, the </w:t>
      </w:r>
      <w:r w:rsidR="00531B82">
        <w:t>angle measurement</w:t>
      </w:r>
      <w:r w:rsidR="00E55527">
        <w:t xml:space="preserve"> includin</w:t>
      </w:r>
      <w:r w:rsidR="002808BE">
        <w:t>g AoA and ZoA</w:t>
      </w:r>
      <w:r w:rsidR="00531B82">
        <w:t xml:space="preserve"> should be</w:t>
      </w:r>
      <w:r w:rsidR="00A877A8">
        <w:t xml:space="preserve"> respected</w:t>
      </w:r>
      <w:r w:rsidR="00531B82">
        <w:t xml:space="preserve"> </w:t>
      </w:r>
      <w:r w:rsidR="00A877A8">
        <w:t>to</w:t>
      </w:r>
      <w:r w:rsidR="00531B82">
        <w:t xml:space="preserve"> a reference direction. </w:t>
      </w:r>
      <w:r w:rsidR="00A04EB9">
        <w:t>The reference direction</w:t>
      </w:r>
      <w:r w:rsidR="009677F1">
        <w:t xml:space="preserve"> is </w:t>
      </w:r>
      <w:r w:rsidR="00D50D45">
        <w:t>essential</w:t>
      </w:r>
      <w:r w:rsidR="009677F1">
        <w:t xml:space="preserve"> </w:t>
      </w:r>
      <w:r w:rsidR="00A5069B">
        <w:t xml:space="preserve">for the SL positioning device </w:t>
      </w:r>
      <w:r w:rsidR="000B31F6">
        <w:t xml:space="preserve">because it helps the </w:t>
      </w:r>
      <w:r w:rsidR="00A61295">
        <w:t xml:space="preserve">other </w:t>
      </w:r>
      <w:r w:rsidR="00097453">
        <w:t xml:space="preserve">entities </w:t>
      </w:r>
      <w:r w:rsidR="00E31FD3">
        <w:t>to construct a</w:t>
      </w:r>
      <w:r w:rsidR="00733568">
        <w:t xml:space="preserve"> local </w:t>
      </w:r>
      <w:r w:rsidR="006318B2">
        <w:t xml:space="preserve">coordination </w:t>
      </w:r>
      <w:r w:rsidR="00DE6809">
        <w:t xml:space="preserve">system and </w:t>
      </w:r>
      <w:r w:rsidR="006A2EB7">
        <w:t xml:space="preserve">thereby understand </w:t>
      </w:r>
      <w:r w:rsidR="007B6B1B">
        <w:t>the direction measurement</w:t>
      </w:r>
      <w:r w:rsidR="00097453">
        <w:t xml:space="preserve"> from the positioning measurement device</w:t>
      </w:r>
      <w:r w:rsidR="007B6B1B">
        <w:t xml:space="preserve">. </w:t>
      </w:r>
      <w:r w:rsidR="001C3361">
        <w:t xml:space="preserve">Unlike </w:t>
      </w:r>
      <w:r w:rsidR="005625D5">
        <w:t>Uu positioning</w:t>
      </w:r>
      <w:r w:rsidR="00F2709A">
        <w:t xml:space="preserve">, </w:t>
      </w:r>
      <w:r w:rsidR="00666C7C">
        <w:t xml:space="preserve">the reference direction </w:t>
      </w:r>
      <w:r w:rsidR="0029525B">
        <w:t xml:space="preserve">in SL positioning </w:t>
      </w:r>
      <w:r w:rsidR="007B6B1B">
        <w:t>is still undefined</w:t>
      </w:r>
      <w:r w:rsidR="006E0C7B">
        <w:t>.</w:t>
      </w:r>
      <w:r w:rsidR="007B6B1B">
        <w:t xml:space="preserve"> </w:t>
      </w:r>
      <w:r w:rsidR="00784394">
        <w:t xml:space="preserve">In </w:t>
      </w:r>
      <w:r w:rsidR="00685396">
        <w:t>Uu positioning, the reference direction is always associated with the gNB</w:t>
      </w:r>
      <w:r w:rsidR="008537BD">
        <w:t>’s antenna bore-sight direction</w:t>
      </w:r>
      <w:r w:rsidR="00685396">
        <w:t xml:space="preserve">. </w:t>
      </w:r>
      <w:r w:rsidR="00094494">
        <w:t>In this case,</w:t>
      </w:r>
      <w:r w:rsidR="00474614">
        <w:t xml:space="preserve"> the reference direction is </w:t>
      </w:r>
      <w:r w:rsidR="00447BDB">
        <w:t xml:space="preserve">always fixed </w:t>
      </w:r>
      <w:r w:rsidR="003D3557">
        <w:t xml:space="preserve">since the </w:t>
      </w:r>
      <w:r w:rsidR="006F1D02">
        <w:t xml:space="preserve">gNB is stationary. </w:t>
      </w:r>
      <w:r w:rsidR="00CF6CA4">
        <w:t>However,</w:t>
      </w:r>
      <w:r w:rsidR="006F1D02">
        <w:t xml:space="preserve"> it </w:t>
      </w:r>
      <w:r w:rsidR="00120DA8">
        <w:t>may</w:t>
      </w:r>
      <w:r w:rsidR="006F1D02">
        <w:t xml:space="preserve"> not</w:t>
      </w:r>
      <w:r w:rsidR="00120DA8">
        <w:t xml:space="preserve"> be</w:t>
      </w:r>
      <w:r w:rsidR="006F1D02">
        <w:t xml:space="preserve"> the case in SL positioning. </w:t>
      </w:r>
      <w:r w:rsidR="005D436D">
        <w:t xml:space="preserve">One or more </w:t>
      </w:r>
      <w:r w:rsidR="006F1D02">
        <w:t xml:space="preserve">SL device </w:t>
      </w:r>
      <w:r w:rsidR="00C93D05">
        <w:t>may no</w:t>
      </w:r>
      <w:r w:rsidR="005D436D">
        <w:t>t</w:t>
      </w:r>
      <w:r w:rsidR="006F1D02">
        <w:t xml:space="preserve"> always </w:t>
      </w:r>
      <w:r w:rsidR="005D436D">
        <w:t>be stationary</w:t>
      </w:r>
      <w:r w:rsidR="00AB1709">
        <w:t xml:space="preserve"> (</w:t>
      </w:r>
      <w:r w:rsidR="007D639A">
        <w:t>e.g., moving)</w:t>
      </w:r>
      <w:r w:rsidR="00874A38">
        <w:t>.</w:t>
      </w:r>
      <w:r w:rsidR="0014117B">
        <w:t xml:space="preserve"> </w:t>
      </w:r>
      <w:r w:rsidR="00874A38">
        <w:t>Hence,</w:t>
      </w:r>
      <w:r w:rsidR="00F464EA">
        <w:t xml:space="preserve"> the </w:t>
      </w:r>
      <w:r w:rsidR="00F17039">
        <w:t xml:space="preserve">antenna </w:t>
      </w:r>
      <w:r w:rsidR="00BE6F18">
        <w:t xml:space="preserve">orientation is </w:t>
      </w:r>
      <w:r w:rsidR="00410EFC">
        <w:t>unpredictable</w:t>
      </w:r>
      <w:r w:rsidR="0034153C">
        <w:t>. As a results of that,</w:t>
      </w:r>
      <w:r w:rsidR="00EF4022">
        <w:t xml:space="preserve"> </w:t>
      </w:r>
      <w:r w:rsidR="00DE4CA9">
        <w:t>setting up</w:t>
      </w:r>
      <w:r w:rsidR="00EF4022">
        <w:t xml:space="preserve"> a same </w:t>
      </w:r>
      <w:r w:rsidR="003C3BD8">
        <w:t xml:space="preserve">definition </w:t>
      </w:r>
      <w:r w:rsidR="00B63EFC">
        <w:t xml:space="preserve">as </w:t>
      </w:r>
      <w:r w:rsidR="000B7551">
        <w:t xml:space="preserve">in </w:t>
      </w:r>
      <w:r w:rsidR="00DE4CA9">
        <w:t>Uu positioning (</w:t>
      </w:r>
      <w:r w:rsidR="00A41767">
        <w:t>antenna bore-sight direction</w:t>
      </w:r>
      <w:r w:rsidR="00DE4CA9">
        <w:t>)</w:t>
      </w:r>
      <w:r w:rsidR="0071302F">
        <w:t xml:space="preserve"> </w:t>
      </w:r>
      <w:r w:rsidR="00232505">
        <w:t xml:space="preserve">for SL ranging </w:t>
      </w:r>
      <w:r w:rsidR="0071302F">
        <w:t xml:space="preserve">may </w:t>
      </w:r>
      <w:r w:rsidR="00232505">
        <w:t>be problematic.</w:t>
      </w:r>
    </w:p>
    <w:p w14:paraId="0E2F8B25" w14:textId="3DCDBC5B" w:rsidR="00232505" w:rsidRDefault="00232505" w:rsidP="00515ECF">
      <w:pPr>
        <w:jc w:val="both"/>
      </w:pPr>
      <w:r>
        <w:t xml:space="preserve">In our view, </w:t>
      </w:r>
      <w:r w:rsidR="001A462B">
        <w:t xml:space="preserve">a better </w:t>
      </w:r>
      <w:r w:rsidR="00EF63EC">
        <w:t>way</w:t>
      </w:r>
      <w:r w:rsidR="001A462B">
        <w:t xml:space="preserve"> </w:t>
      </w:r>
      <w:r w:rsidR="000C61EA">
        <w:t xml:space="preserve">is to define the </w:t>
      </w:r>
      <w:r w:rsidR="00EF63EC">
        <w:t xml:space="preserve">reference </w:t>
      </w:r>
      <w:r w:rsidR="00F21DA5">
        <w:t xml:space="preserve">as the direction from </w:t>
      </w:r>
      <w:r w:rsidR="00B34229">
        <w:t xml:space="preserve">the </w:t>
      </w:r>
      <w:r w:rsidR="00FA547E">
        <w:t>positioning measurement</w:t>
      </w:r>
      <w:r w:rsidR="00B34229">
        <w:t xml:space="preserve"> device toward a reference device. </w:t>
      </w:r>
      <w:r w:rsidR="007A136C">
        <w:t xml:space="preserve">Here reference device </w:t>
      </w:r>
      <w:r w:rsidR="00423605">
        <w:t>is</w:t>
      </w:r>
      <w:r w:rsidR="007A136C">
        <w:t xml:space="preserve"> </w:t>
      </w:r>
      <w:r w:rsidR="00423605">
        <w:t xml:space="preserve">established only for defining a reference direction. It can be </w:t>
      </w:r>
      <w:r w:rsidR="00261A9E">
        <w:t>either reference signal transmitter</w:t>
      </w:r>
      <w:r w:rsidR="00951D0B">
        <w:t>/receiver</w:t>
      </w:r>
      <w:r w:rsidR="00261A9E">
        <w:t xml:space="preserve"> or other</w:t>
      </w:r>
      <w:r w:rsidR="00101EC1">
        <w:t xml:space="preserve"> SL device</w:t>
      </w:r>
      <w:r w:rsidR="00EA5A5B">
        <w:t>s.</w:t>
      </w:r>
      <w:r w:rsidR="00101EC1">
        <w:t xml:space="preserve"> </w:t>
      </w:r>
    </w:p>
    <w:p w14:paraId="23FE2DB9" w14:textId="29A7BDE7" w:rsidR="006206E4" w:rsidRDefault="006206E4" w:rsidP="005E5E24">
      <w:pPr>
        <w:pStyle w:val="Caption"/>
        <w:jc w:val="both"/>
      </w:pPr>
      <w:bookmarkStart w:id="41" w:name="_Toc118724202"/>
      <w:r>
        <w:t xml:space="preserve">Proposal </w:t>
      </w:r>
      <w:fldSimple w:instr=" SEQ Proposal \* ARABIC ">
        <w:r w:rsidR="0017693B">
          <w:rPr>
            <w:noProof/>
          </w:rPr>
          <w:t>15</w:t>
        </w:r>
      </w:fldSimple>
      <w:r w:rsidRPr="006A6052">
        <w:t>: For SL ranging, consider defining a reference direction as the direction from positioning Measurement Device to a Reference Device. Reference Device can be either reference signal transmitter/ receiver or other SL device.</w:t>
      </w:r>
      <w:bookmarkEnd w:id="41"/>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BCBFE40" w:rsidR="00E074D7" w:rsidRDefault="00A46B2C" w:rsidP="00E074D7">
      <w:pPr>
        <w:jc w:val="both"/>
      </w:pPr>
      <w:r>
        <w:t xml:space="preserve">In this contribution, we provide our initial view on potential solution for sidelink positioning. The </w:t>
      </w:r>
      <w:r w:rsidR="00FA0901">
        <w:t>observations and proposals are listed below.</w:t>
      </w:r>
    </w:p>
    <w:p w14:paraId="3598BB5B" w14:textId="77777777" w:rsidR="00342AAD" w:rsidRPr="00342AAD" w:rsidRDefault="00342AAD" w:rsidP="00342AAD">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342AAD">
        <w:rPr>
          <w:b/>
          <w:bCs/>
        </w:rPr>
        <w:fldChar w:fldCharType="begin"/>
      </w:r>
      <w:r w:rsidRPr="00342AAD">
        <w:rPr>
          <w:b/>
          <w:bCs/>
        </w:rPr>
        <w:instrText xml:space="preserve"> TOC \n \h \z \c "Observation" </w:instrText>
      </w:r>
      <w:r w:rsidRPr="00342AAD">
        <w:rPr>
          <w:b/>
          <w:bCs/>
        </w:rPr>
        <w:fldChar w:fldCharType="separate"/>
      </w:r>
      <w:hyperlink w:anchor="_Toc115427132" w:history="1">
        <w:r w:rsidRPr="00342AAD">
          <w:rPr>
            <w:rStyle w:val="Hyperlink"/>
            <w:b/>
            <w:bCs/>
            <w:noProof/>
          </w:rPr>
          <w:t>Observation 1: In V2X scenario, some UE(s) may be stationary (e.g., a UE in RSU). This type of UE can be used to facilitate positioning procedure, such as to perform as reference UE for positioning.</w:t>
        </w:r>
      </w:hyperlink>
    </w:p>
    <w:p w14:paraId="362ED8BA" w14:textId="3F5860BC" w:rsidR="005432CF" w:rsidRPr="00FF117F" w:rsidRDefault="00342AAD" w:rsidP="00FF117F">
      <w:pPr>
        <w:spacing w:line="360" w:lineRule="auto"/>
        <w:jc w:val="both"/>
        <w:rPr>
          <w:b/>
          <w:bCs/>
        </w:rPr>
      </w:pPr>
      <w:r w:rsidRPr="00342AAD">
        <w:rPr>
          <w:b/>
          <w:bCs/>
        </w:rPr>
        <w:fldChar w:fldCharType="end"/>
      </w:r>
    </w:p>
    <w:p w14:paraId="327279FC" w14:textId="77777777" w:rsidR="005719C7" w:rsidRPr="005E5E24" w:rsidRDefault="00165A18"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r>
        <w:fldChar w:fldCharType="begin"/>
      </w:r>
      <w:r>
        <w:instrText xml:space="preserve"> TOC \n \h \z \c "Proposal" </w:instrText>
      </w:r>
      <w:r>
        <w:fldChar w:fldCharType="separate"/>
      </w:r>
      <w:hyperlink w:anchor="_Toc118724188" w:history="1">
        <w:r w:rsidR="005719C7" w:rsidRPr="005E5E24">
          <w:rPr>
            <w:rStyle w:val="Hyperlink"/>
            <w:b/>
            <w:bCs/>
            <w:noProof/>
          </w:rPr>
          <w:t>Proposal 1: Support the RTT-type solutions using SL corresponds to a single-sided or double-sided RTT method (known as Alt.2)</w:t>
        </w:r>
      </w:hyperlink>
    </w:p>
    <w:p w14:paraId="6CBE9741"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89" w:history="1">
        <w:r w:rsidRPr="005E5E24">
          <w:rPr>
            <w:rStyle w:val="Hyperlink"/>
            <w:b/>
            <w:bCs/>
            <w:noProof/>
          </w:rPr>
          <w:t>Proposal 2: Introduce the time window between the first and the second PRS transmission in order to minimize the impact of the time drift in Single Sided SL-RTT.</w:t>
        </w:r>
      </w:hyperlink>
    </w:p>
    <w:p w14:paraId="66BD893A"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0" w:history="1">
        <w:r w:rsidRPr="005E5E24">
          <w:rPr>
            <w:rStyle w:val="Hyperlink"/>
            <w:b/>
            <w:bCs/>
            <w:noProof/>
          </w:rPr>
          <w:t>Proposal 3: Support a BWP carrying dedicated resource pool(s) for positioning (e.g., to carry wideband SL-PRS).</w:t>
        </w:r>
      </w:hyperlink>
    </w:p>
    <w:p w14:paraId="10467693"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1" w:history="1">
        <w:r w:rsidRPr="005E5E24">
          <w:rPr>
            <w:rStyle w:val="Hyperlink"/>
            <w:b/>
            <w:bCs/>
            <w:noProof/>
          </w:rPr>
          <w:t>Proposal 4: Support the bandwidth of SL-PRS can be same or smaller than that of the resource pool</w:t>
        </w:r>
      </w:hyperlink>
    </w:p>
    <w:p w14:paraId="7A3FAC95"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2" w:history="1">
        <w:r w:rsidRPr="005E5E24">
          <w:rPr>
            <w:rStyle w:val="Hyperlink"/>
            <w:b/>
            <w:bCs/>
            <w:noProof/>
          </w:rPr>
          <w:t>Proposal 5: SL-PRS can be allocated within a resource pool and separated with a guard period.</w:t>
        </w:r>
      </w:hyperlink>
    </w:p>
    <w:p w14:paraId="77CCBF65"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3" w:history="1">
        <w:r w:rsidRPr="005E5E24">
          <w:rPr>
            <w:rStyle w:val="Hyperlink"/>
            <w:b/>
            <w:bCs/>
            <w:noProof/>
          </w:rPr>
          <w:t>Proposal 6: Support high-layer and lower-layer signalling involvement in the SL-PRS configuration.</w:t>
        </w:r>
      </w:hyperlink>
    </w:p>
    <w:p w14:paraId="04D77BDB"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4" w:history="1">
        <w:r w:rsidRPr="005E5E24">
          <w:rPr>
            <w:rStyle w:val="Hyperlink"/>
            <w:b/>
            <w:bCs/>
            <w:noProof/>
          </w:rPr>
          <w:t>Proposal 7: A transmitting UE receives a SL-PRS resource allocation signaling from gNB (e.g., through Dynamic grant, or through configured grant type 1/type 2 )</w:t>
        </w:r>
      </w:hyperlink>
    </w:p>
    <w:p w14:paraId="59B74544"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5" w:history="1">
        <w:r w:rsidRPr="005E5E24">
          <w:rPr>
            <w:rStyle w:val="Hyperlink"/>
            <w:b/>
            <w:bCs/>
            <w:noProof/>
          </w:rPr>
          <w:t>Proposal 8: Consider supporting multiplexing of SL-PRS from multiple UEs within a given set of resources.</w:t>
        </w:r>
      </w:hyperlink>
    </w:p>
    <w:p w14:paraId="66E93132"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6" w:history="1">
        <w:r w:rsidRPr="005E5E24">
          <w:rPr>
            <w:rStyle w:val="Hyperlink"/>
            <w:b/>
            <w:bCs/>
            <w:noProof/>
          </w:rPr>
          <w:t>Proposal 9: Broadcast of SL-PRS can be beneficial and supported, at least, from RAN1 perspective.</w:t>
        </w:r>
      </w:hyperlink>
    </w:p>
    <w:p w14:paraId="1B112FCC"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7" w:history="1">
        <w:r w:rsidRPr="005E5E24">
          <w:rPr>
            <w:rStyle w:val="Hyperlink"/>
            <w:b/>
            <w:bCs/>
            <w:noProof/>
          </w:rPr>
          <w:t>Proposal 10: Consider inter-multiple UEs coordination (i.e., similar concept as IUC) for sidelink positioning, especially in V2X use-case.</w:t>
        </w:r>
      </w:hyperlink>
    </w:p>
    <w:p w14:paraId="7D635669"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8" w:history="1">
        <w:r w:rsidRPr="005E5E24">
          <w:rPr>
            <w:rStyle w:val="Hyperlink"/>
            <w:b/>
            <w:bCs/>
            <w:noProof/>
          </w:rPr>
          <w:t>Proposal 11: Support hybrid positioning where the UE receives reference signal for positioning from both direct-link (Uu) and sidelink (PC5) and jointly utilize for positioning estimation purpose.</w:t>
        </w:r>
      </w:hyperlink>
    </w:p>
    <w:p w14:paraId="66F6E7EA"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199" w:history="1">
        <w:r w:rsidRPr="005E5E24">
          <w:rPr>
            <w:rStyle w:val="Hyperlink"/>
            <w:b/>
            <w:bCs/>
            <w:noProof/>
          </w:rPr>
          <w:t>Proposal 12: Consider supporting UE-types classification for V2X positioning (e.g., RSU, VRU, Car).</w:t>
        </w:r>
      </w:hyperlink>
    </w:p>
    <w:p w14:paraId="292BD9E5"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200" w:history="1">
        <w:r w:rsidRPr="005E5E24">
          <w:rPr>
            <w:rStyle w:val="Hyperlink"/>
            <w:b/>
            <w:bCs/>
            <w:noProof/>
          </w:rPr>
          <w:t>Proposal 13: Consider adapting positioning procedure based on the region/zone of the UE.</w:t>
        </w:r>
      </w:hyperlink>
    </w:p>
    <w:p w14:paraId="1252F086"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201" w:history="1">
        <w:r w:rsidRPr="005E5E24">
          <w:rPr>
            <w:rStyle w:val="Hyperlink"/>
            <w:b/>
            <w:bCs/>
            <w:noProof/>
          </w:rPr>
          <w:t>Proposal 14: Consider supporting positioning procedure with the assistance of another UE for the estimation of relative positioning and relative angle.</w:t>
        </w:r>
      </w:hyperlink>
    </w:p>
    <w:p w14:paraId="12E1FF5A" w14:textId="77777777" w:rsidR="005719C7" w:rsidRPr="005E5E24" w:rsidRDefault="005719C7" w:rsidP="005E5E24">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24202" w:history="1">
        <w:r w:rsidRPr="005E5E24">
          <w:rPr>
            <w:rStyle w:val="Hyperlink"/>
            <w:b/>
            <w:bCs/>
            <w:noProof/>
          </w:rPr>
          <w:t>Proposal 15: For SL ranging, consider defining a reference direction as the direction from positioning Measurement Device to a Reference Device. Reference Device can be either reference signal transmitter/ receiver or other SL device.</w:t>
        </w:r>
      </w:hyperlink>
    </w:p>
    <w:p w14:paraId="64114868" w14:textId="3F91C76D" w:rsidR="00811B57" w:rsidRPr="00A360C1" w:rsidRDefault="00165A18" w:rsidP="005E5E24">
      <w:pPr>
        <w:spacing w:after="240" w:line="276" w:lineRule="auto"/>
        <w:rPr>
          <w:b/>
          <w:bCs/>
        </w:rPr>
      </w:pPr>
      <w:r>
        <w:fldChar w:fldCharType="end"/>
      </w:r>
    </w:p>
    <w:p w14:paraId="7D8159A5" w14:textId="06139A06" w:rsidR="00342AAD" w:rsidRDefault="00342AAD" w:rsidP="00FF117F">
      <w:pPr>
        <w:spacing w:line="360" w:lineRule="auto"/>
        <w:jc w:val="both"/>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210DFC5A" w:rsidR="001D2B9B" w:rsidRDefault="00B40CFC">
      <w:pPr>
        <w:pStyle w:val="ListParagraph"/>
        <w:numPr>
          <w:ilvl w:val="0"/>
          <w:numId w:val="8"/>
        </w:numPr>
        <w:ind w:left="426" w:hanging="426"/>
      </w:pPr>
      <w:bookmarkStart w:id="42" w:name="_Ref61535913"/>
      <w:bookmarkStart w:id="43"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42"/>
      <w:r w:rsidR="005318A9">
        <w:t>1</w:t>
      </w:r>
      <w:bookmarkEnd w:id="43"/>
      <w:r w:rsidR="00B8655B">
        <w:t>.</w:t>
      </w:r>
    </w:p>
    <w:p w14:paraId="0BDADF7F" w14:textId="3DC2365E" w:rsidR="00C12A29" w:rsidRDefault="00C12A29">
      <w:pPr>
        <w:pStyle w:val="ListParagraph"/>
        <w:numPr>
          <w:ilvl w:val="0"/>
          <w:numId w:val="8"/>
        </w:numPr>
        <w:ind w:left="426" w:hanging="426"/>
      </w:pPr>
      <w:bookmarkStart w:id="44" w:name="_Ref111106531"/>
      <w:r>
        <w:t>RAN1 chairman’s notes, RAN1#109e meeting, May 2022.</w:t>
      </w:r>
      <w:bookmarkEnd w:id="44"/>
    </w:p>
    <w:p w14:paraId="73CA05ED" w14:textId="451F05AA" w:rsidR="00342AAD" w:rsidRPr="00C12A29" w:rsidRDefault="00342AAD">
      <w:pPr>
        <w:pStyle w:val="ListParagraph"/>
        <w:numPr>
          <w:ilvl w:val="0"/>
          <w:numId w:val="8"/>
        </w:numPr>
        <w:ind w:left="426" w:hanging="426"/>
      </w:pPr>
      <w:bookmarkStart w:id="45" w:name="_Ref115434473"/>
      <w:r>
        <w:t>RAN1 chairman’s notes, RAN1#110 meeting, Toulouse – France, August 2022.</w:t>
      </w:r>
      <w:bookmarkEnd w:id="45"/>
    </w:p>
    <w:p w14:paraId="247B161A" w14:textId="23C644FC" w:rsidR="00B8655B" w:rsidRPr="00B8655B" w:rsidRDefault="00B8655B">
      <w:pPr>
        <w:pStyle w:val="ListParagraph"/>
        <w:numPr>
          <w:ilvl w:val="0"/>
          <w:numId w:val="8"/>
        </w:numPr>
        <w:ind w:left="426" w:hanging="426"/>
      </w:pPr>
      <w:r w:rsidRPr="00352BBA">
        <w:rPr>
          <w:rFonts w:eastAsia="MS Mincho"/>
        </w:rPr>
        <w:t>TR</w:t>
      </w:r>
      <w:r w:rsidR="003A65DC">
        <w:rPr>
          <w:rFonts w:eastAsia="MS Mincho"/>
        </w:rPr>
        <w:t xml:space="preserve"> </w:t>
      </w:r>
      <w:r w:rsidRPr="00352BBA">
        <w:rPr>
          <w:rFonts w:eastAsia="MS Mincho"/>
        </w:rPr>
        <w:t>38.845</w:t>
      </w:r>
      <w:r w:rsidR="00484CCB">
        <w:rPr>
          <w:rFonts w:eastAsia="MS Mincho"/>
        </w:rPr>
        <w:t xml:space="preserve"> </w:t>
      </w:r>
      <w:r w:rsidR="005225AF">
        <w:rPr>
          <w:rFonts w:eastAsia="MS Mincho"/>
        </w:rPr>
        <w:t>Scenarios and requirements for in-partial-</w:t>
      </w:r>
      <w:r w:rsidR="004A6DC7">
        <w:rPr>
          <w:rFonts w:eastAsia="MS Mincho"/>
        </w:rPr>
        <w:t>out of-coverage positioning use cases</w:t>
      </w:r>
    </w:p>
    <w:p w14:paraId="7DE6E8A7" w14:textId="6911CEE1" w:rsidR="00B8655B" w:rsidRPr="00B8655B" w:rsidRDefault="00B8655B">
      <w:pPr>
        <w:pStyle w:val="ListParagraph"/>
        <w:numPr>
          <w:ilvl w:val="0"/>
          <w:numId w:val="8"/>
        </w:numPr>
        <w:ind w:left="426" w:hanging="426"/>
      </w:pPr>
      <w:r w:rsidRPr="00352BBA">
        <w:rPr>
          <w:rFonts w:eastAsia="MS Mincho"/>
        </w:rPr>
        <w:t>TS</w:t>
      </w:r>
      <w:r w:rsidR="003A65DC">
        <w:rPr>
          <w:rFonts w:eastAsia="MS Mincho"/>
        </w:rPr>
        <w:t xml:space="preserve"> </w:t>
      </w:r>
      <w:r w:rsidRPr="00352BBA">
        <w:rPr>
          <w:rFonts w:eastAsia="MS Mincho"/>
        </w:rPr>
        <w:t>22.261</w:t>
      </w:r>
      <w:r w:rsidR="004A6DC7">
        <w:rPr>
          <w:rFonts w:eastAsia="MS Mincho"/>
        </w:rPr>
        <w:t xml:space="preserve"> Service requirements for the 5G system</w:t>
      </w:r>
    </w:p>
    <w:p w14:paraId="1E6DDA91" w14:textId="374EF763" w:rsidR="00B8655B" w:rsidRPr="006B335F" w:rsidRDefault="0024174E">
      <w:pPr>
        <w:pStyle w:val="ListParagraph"/>
        <w:numPr>
          <w:ilvl w:val="0"/>
          <w:numId w:val="8"/>
        </w:numPr>
        <w:ind w:left="426" w:hanging="426"/>
      </w:pPr>
      <w:r w:rsidRPr="00352BBA">
        <w:rPr>
          <w:rFonts w:eastAsia="MS Mincho"/>
        </w:rPr>
        <w:t>TS</w:t>
      </w:r>
      <w:r w:rsidR="003A65DC">
        <w:rPr>
          <w:rFonts w:eastAsia="MS Mincho"/>
        </w:rPr>
        <w:t xml:space="preserve"> </w:t>
      </w:r>
      <w:r w:rsidRPr="00352BBA">
        <w:rPr>
          <w:rFonts w:eastAsia="MS Mincho"/>
        </w:rPr>
        <w:t>22.104</w:t>
      </w:r>
      <w:r w:rsidR="004A6DC7">
        <w:rPr>
          <w:rFonts w:eastAsia="MS Mincho"/>
        </w:rPr>
        <w:t xml:space="preserve"> </w:t>
      </w:r>
      <w:r w:rsidR="00295049" w:rsidRPr="00295049">
        <w:rPr>
          <w:rFonts w:eastAsia="MS Mincho"/>
        </w:rPr>
        <w:t>Service requirements for cyber-physical control applications in vertical domains</w:t>
      </w:r>
    </w:p>
    <w:p w14:paraId="200FD351" w14:textId="10C571D8" w:rsidR="006B335F" w:rsidRPr="001C5ADB" w:rsidRDefault="006B335F">
      <w:pPr>
        <w:pStyle w:val="ListParagraph"/>
        <w:numPr>
          <w:ilvl w:val="0"/>
          <w:numId w:val="8"/>
        </w:numPr>
        <w:ind w:left="426" w:hanging="426"/>
      </w:pPr>
      <w:bookmarkStart w:id="46" w:name="_Ref101778714"/>
      <w:r>
        <w:rPr>
          <w:rFonts w:eastAsia="MS Mincho"/>
        </w:rPr>
        <w:t>TR 22.855</w:t>
      </w:r>
      <w:r w:rsidR="002540E4">
        <w:rPr>
          <w:rFonts w:eastAsia="MS Mincho"/>
        </w:rPr>
        <w:t xml:space="preserve"> Study on Ranging-based Services</w:t>
      </w:r>
      <w:bookmarkEnd w:id="46"/>
    </w:p>
    <w:p w14:paraId="4A4D43E8" w14:textId="389BD197" w:rsidR="001C5ADB" w:rsidRDefault="00DA1E10">
      <w:pPr>
        <w:pStyle w:val="ListParagraph"/>
        <w:numPr>
          <w:ilvl w:val="0"/>
          <w:numId w:val="8"/>
        </w:numPr>
        <w:ind w:left="426" w:hanging="426"/>
      </w:pPr>
      <w:bookmarkStart w:id="47" w:name="_Ref101778719"/>
      <w:r>
        <w:t>TR 23.700-86</w:t>
      </w:r>
      <w:r w:rsidR="00D71987">
        <w:t xml:space="preserve"> </w:t>
      </w:r>
      <w:r w:rsidR="005533F8" w:rsidRPr="005533F8">
        <w:t>Study on Architecture Enhancement to support Ranging based services and sidelink positioning</w:t>
      </w:r>
    </w:p>
    <w:bookmarkEnd w:id="47"/>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46EB" w14:textId="77777777" w:rsidR="00784AE1" w:rsidRDefault="00784AE1">
      <w:r>
        <w:separator/>
      </w:r>
    </w:p>
  </w:endnote>
  <w:endnote w:type="continuationSeparator" w:id="0">
    <w:p w14:paraId="04F01F07" w14:textId="77777777" w:rsidR="00784AE1" w:rsidRDefault="00784AE1">
      <w:r>
        <w:continuationSeparator/>
      </w:r>
    </w:p>
  </w:endnote>
  <w:endnote w:type="continuationNotice" w:id="1">
    <w:p w14:paraId="44368EA0" w14:textId="77777777" w:rsidR="00784AE1" w:rsidRDefault="00784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19485" w14:textId="77777777" w:rsidR="00784AE1" w:rsidRDefault="00784AE1">
      <w:r>
        <w:separator/>
      </w:r>
    </w:p>
  </w:footnote>
  <w:footnote w:type="continuationSeparator" w:id="0">
    <w:p w14:paraId="7D16B065" w14:textId="77777777" w:rsidR="00784AE1" w:rsidRDefault="00784AE1">
      <w:r>
        <w:continuationSeparator/>
      </w:r>
    </w:p>
  </w:footnote>
  <w:footnote w:type="continuationNotice" w:id="1">
    <w:p w14:paraId="679593F9" w14:textId="77777777" w:rsidR="00784AE1" w:rsidRDefault="00784A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526704"/>
    <w:multiLevelType w:val="hybridMultilevel"/>
    <w:tmpl w:val="536A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9719EC"/>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2"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9272FE"/>
    <w:multiLevelType w:val="hybridMultilevel"/>
    <w:tmpl w:val="DD20B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08205345">
    <w:abstractNumId w:val="21"/>
  </w:num>
  <w:num w:numId="2" w16cid:durableId="2020690342">
    <w:abstractNumId w:val="19"/>
  </w:num>
  <w:num w:numId="3" w16cid:durableId="847211049">
    <w:abstractNumId w:val="15"/>
  </w:num>
  <w:num w:numId="4" w16cid:durableId="1707024870">
    <w:abstractNumId w:val="5"/>
  </w:num>
  <w:num w:numId="5" w16cid:durableId="690105361">
    <w:abstractNumId w:val="0"/>
  </w:num>
  <w:num w:numId="6" w16cid:durableId="815416427">
    <w:abstractNumId w:val="9"/>
  </w:num>
  <w:num w:numId="7" w16cid:durableId="2035690211">
    <w:abstractNumId w:val="31"/>
  </w:num>
  <w:num w:numId="8" w16cid:durableId="1924103173">
    <w:abstractNumId w:val="28"/>
  </w:num>
  <w:num w:numId="9" w16cid:durableId="287012151">
    <w:abstractNumId w:val="14"/>
  </w:num>
  <w:num w:numId="10" w16cid:durableId="280040215">
    <w:abstractNumId w:val="16"/>
  </w:num>
  <w:num w:numId="11" w16cid:durableId="364133594">
    <w:abstractNumId w:val="23"/>
  </w:num>
  <w:num w:numId="12" w16cid:durableId="962732479">
    <w:abstractNumId w:val="4"/>
  </w:num>
  <w:num w:numId="13" w16cid:durableId="1706709921">
    <w:abstractNumId w:val="17"/>
  </w:num>
  <w:num w:numId="14" w16cid:durableId="402408870">
    <w:abstractNumId w:val="29"/>
  </w:num>
  <w:num w:numId="15" w16cid:durableId="1093862518">
    <w:abstractNumId w:val="27"/>
  </w:num>
  <w:num w:numId="16" w16cid:durableId="1475639234">
    <w:abstractNumId w:val="11"/>
  </w:num>
  <w:num w:numId="17" w16cid:durableId="585307819">
    <w:abstractNumId w:val="25"/>
  </w:num>
  <w:num w:numId="18" w16cid:durableId="1317491796">
    <w:abstractNumId w:val="18"/>
  </w:num>
  <w:num w:numId="19" w16cid:durableId="1485051398">
    <w:abstractNumId w:val="26"/>
  </w:num>
  <w:num w:numId="20" w16cid:durableId="213858957">
    <w:abstractNumId w:val="3"/>
  </w:num>
  <w:num w:numId="21" w16cid:durableId="1743870101">
    <w:abstractNumId w:val="8"/>
  </w:num>
  <w:num w:numId="22" w16cid:durableId="284388037">
    <w:abstractNumId w:val="6"/>
  </w:num>
  <w:num w:numId="23" w16cid:durableId="1678145784">
    <w:abstractNumId w:val="22"/>
  </w:num>
  <w:num w:numId="24" w16cid:durableId="582833448">
    <w:abstractNumId w:val="2"/>
  </w:num>
  <w:num w:numId="25" w16cid:durableId="746269640">
    <w:abstractNumId w:val="1"/>
  </w:num>
  <w:num w:numId="26" w16cid:durableId="1598371053">
    <w:abstractNumId w:val="13"/>
  </w:num>
  <w:num w:numId="27" w16cid:durableId="350453157">
    <w:abstractNumId w:val="10"/>
  </w:num>
  <w:num w:numId="28" w16cid:durableId="1887906013">
    <w:abstractNumId w:val="20"/>
  </w:num>
  <w:num w:numId="29" w16cid:durableId="1882588660">
    <w:abstractNumId w:val="30"/>
  </w:num>
  <w:num w:numId="30" w16cid:durableId="2144419153">
    <w:abstractNumId w:val="24"/>
  </w:num>
  <w:num w:numId="31" w16cid:durableId="410127175">
    <w:abstractNumId w:val="12"/>
  </w:num>
  <w:num w:numId="32" w16cid:durableId="1661274934">
    <w:abstractNumId w:val="12"/>
  </w:num>
  <w:num w:numId="33" w16cid:durableId="114573173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76"/>
    <w:rsid w:val="000020BF"/>
    <w:rsid w:val="000021CA"/>
    <w:rsid w:val="00002AB0"/>
    <w:rsid w:val="000037B1"/>
    <w:rsid w:val="00003E23"/>
    <w:rsid w:val="00003F25"/>
    <w:rsid w:val="00003F76"/>
    <w:rsid w:val="00004422"/>
    <w:rsid w:val="00004803"/>
    <w:rsid w:val="00004F80"/>
    <w:rsid w:val="00005DB5"/>
    <w:rsid w:val="00006A33"/>
    <w:rsid w:val="00006D4C"/>
    <w:rsid w:val="000075AB"/>
    <w:rsid w:val="000100DB"/>
    <w:rsid w:val="000102FF"/>
    <w:rsid w:val="00010322"/>
    <w:rsid w:val="0001056E"/>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42C"/>
    <w:rsid w:val="0002561C"/>
    <w:rsid w:val="00027367"/>
    <w:rsid w:val="00027DE7"/>
    <w:rsid w:val="00030B29"/>
    <w:rsid w:val="00030F0D"/>
    <w:rsid w:val="00031453"/>
    <w:rsid w:val="00031AA4"/>
    <w:rsid w:val="00031E77"/>
    <w:rsid w:val="00032451"/>
    <w:rsid w:val="00032A02"/>
    <w:rsid w:val="00033426"/>
    <w:rsid w:val="00034A05"/>
    <w:rsid w:val="00036260"/>
    <w:rsid w:val="000370C7"/>
    <w:rsid w:val="00037892"/>
    <w:rsid w:val="00037924"/>
    <w:rsid w:val="00037E85"/>
    <w:rsid w:val="00037FAD"/>
    <w:rsid w:val="00040836"/>
    <w:rsid w:val="00040B7B"/>
    <w:rsid w:val="00040D7A"/>
    <w:rsid w:val="0004157F"/>
    <w:rsid w:val="000419CE"/>
    <w:rsid w:val="00041A7F"/>
    <w:rsid w:val="00042A4A"/>
    <w:rsid w:val="0004330F"/>
    <w:rsid w:val="000434D4"/>
    <w:rsid w:val="000437AE"/>
    <w:rsid w:val="00045544"/>
    <w:rsid w:val="00046177"/>
    <w:rsid w:val="00051455"/>
    <w:rsid w:val="00051AE3"/>
    <w:rsid w:val="000526BF"/>
    <w:rsid w:val="0005339F"/>
    <w:rsid w:val="00053EA9"/>
    <w:rsid w:val="00055770"/>
    <w:rsid w:val="000558E7"/>
    <w:rsid w:val="00057629"/>
    <w:rsid w:val="00057F6C"/>
    <w:rsid w:val="00060A19"/>
    <w:rsid w:val="00060B24"/>
    <w:rsid w:val="00062DA9"/>
    <w:rsid w:val="0006343E"/>
    <w:rsid w:val="00063EB5"/>
    <w:rsid w:val="00064143"/>
    <w:rsid w:val="000647D7"/>
    <w:rsid w:val="00065206"/>
    <w:rsid w:val="0006574C"/>
    <w:rsid w:val="000657A3"/>
    <w:rsid w:val="000672D7"/>
    <w:rsid w:val="00067574"/>
    <w:rsid w:val="00071A2D"/>
    <w:rsid w:val="00072B78"/>
    <w:rsid w:val="0007415F"/>
    <w:rsid w:val="000741A1"/>
    <w:rsid w:val="000747EA"/>
    <w:rsid w:val="00074A91"/>
    <w:rsid w:val="00076165"/>
    <w:rsid w:val="00076939"/>
    <w:rsid w:val="000769FA"/>
    <w:rsid w:val="000772E2"/>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BFA"/>
    <w:rsid w:val="00084C82"/>
    <w:rsid w:val="000857CD"/>
    <w:rsid w:val="00085823"/>
    <w:rsid w:val="00085882"/>
    <w:rsid w:val="000869F2"/>
    <w:rsid w:val="00086F90"/>
    <w:rsid w:val="00087D3A"/>
    <w:rsid w:val="00087D59"/>
    <w:rsid w:val="0009061A"/>
    <w:rsid w:val="000915EC"/>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519B"/>
    <w:rsid w:val="000A59C0"/>
    <w:rsid w:val="000B15FF"/>
    <w:rsid w:val="000B1E30"/>
    <w:rsid w:val="000B2710"/>
    <w:rsid w:val="000B2B8C"/>
    <w:rsid w:val="000B2C0D"/>
    <w:rsid w:val="000B2C5C"/>
    <w:rsid w:val="000B2C86"/>
    <w:rsid w:val="000B2FDD"/>
    <w:rsid w:val="000B31F6"/>
    <w:rsid w:val="000B4315"/>
    <w:rsid w:val="000B5886"/>
    <w:rsid w:val="000B5AEA"/>
    <w:rsid w:val="000B5D65"/>
    <w:rsid w:val="000B68AA"/>
    <w:rsid w:val="000B7551"/>
    <w:rsid w:val="000C054B"/>
    <w:rsid w:val="000C1F27"/>
    <w:rsid w:val="000C282B"/>
    <w:rsid w:val="000C2901"/>
    <w:rsid w:val="000C2AC0"/>
    <w:rsid w:val="000C3103"/>
    <w:rsid w:val="000C34E2"/>
    <w:rsid w:val="000C3B1C"/>
    <w:rsid w:val="000C46E3"/>
    <w:rsid w:val="000C494A"/>
    <w:rsid w:val="000C4E9D"/>
    <w:rsid w:val="000C60E8"/>
    <w:rsid w:val="000C61EA"/>
    <w:rsid w:val="000C6D64"/>
    <w:rsid w:val="000D0388"/>
    <w:rsid w:val="000D0BAB"/>
    <w:rsid w:val="000D1A2D"/>
    <w:rsid w:val="000D1F0F"/>
    <w:rsid w:val="000D2E23"/>
    <w:rsid w:val="000D49B2"/>
    <w:rsid w:val="000D639E"/>
    <w:rsid w:val="000D6E32"/>
    <w:rsid w:val="000D6FF9"/>
    <w:rsid w:val="000D7B2E"/>
    <w:rsid w:val="000D7E96"/>
    <w:rsid w:val="000E017F"/>
    <w:rsid w:val="000E01C8"/>
    <w:rsid w:val="000E1148"/>
    <w:rsid w:val="000E18DD"/>
    <w:rsid w:val="000E1D2D"/>
    <w:rsid w:val="000E22DA"/>
    <w:rsid w:val="000E2A73"/>
    <w:rsid w:val="000E5766"/>
    <w:rsid w:val="000E58D4"/>
    <w:rsid w:val="000E5BE7"/>
    <w:rsid w:val="000E630F"/>
    <w:rsid w:val="000E678E"/>
    <w:rsid w:val="000F0284"/>
    <w:rsid w:val="000F0564"/>
    <w:rsid w:val="000F0589"/>
    <w:rsid w:val="000F0B4D"/>
    <w:rsid w:val="000F183A"/>
    <w:rsid w:val="000F2691"/>
    <w:rsid w:val="000F4421"/>
    <w:rsid w:val="000F4F02"/>
    <w:rsid w:val="000F667A"/>
    <w:rsid w:val="000F6C17"/>
    <w:rsid w:val="000F7A67"/>
    <w:rsid w:val="0010051A"/>
    <w:rsid w:val="00101EC1"/>
    <w:rsid w:val="00102B6D"/>
    <w:rsid w:val="00102E56"/>
    <w:rsid w:val="00103160"/>
    <w:rsid w:val="00103AF4"/>
    <w:rsid w:val="001049D7"/>
    <w:rsid w:val="0010533E"/>
    <w:rsid w:val="00105393"/>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762"/>
    <w:rsid w:val="00123B0E"/>
    <w:rsid w:val="00123C2E"/>
    <w:rsid w:val="00123D4B"/>
    <w:rsid w:val="00124B6B"/>
    <w:rsid w:val="00124E03"/>
    <w:rsid w:val="00124FCC"/>
    <w:rsid w:val="00126B43"/>
    <w:rsid w:val="00127205"/>
    <w:rsid w:val="0012752F"/>
    <w:rsid w:val="00130B1A"/>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117B"/>
    <w:rsid w:val="00142462"/>
    <w:rsid w:val="00143631"/>
    <w:rsid w:val="00143E7C"/>
    <w:rsid w:val="00144192"/>
    <w:rsid w:val="00146044"/>
    <w:rsid w:val="00146AD9"/>
    <w:rsid w:val="001472C4"/>
    <w:rsid w:val="00147612"/>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371"/>
    <w:rsid w:val="00160945"/>
    <w:rsid w:val="00162258"/>
    <w:rsid w:val="001623C0"/>
    <w:rsid w:val="0016276D"/>
    <w:rsid w:val="00163F2F"/>
    <w:rsid w:val="001641D6"/>
    <w:rsid w:val="00165A18"/>
    <w:rsid w:val="00165DBE"/>
    <w:rsid w:val="001663F2"/>
    <w:rsid w:val="001665E9"/>
    <w:rsid w:val="00166706"/>
    <w:rsid w:val="0017035C"/>
    <w:rsid w:val="001703DF"/>
    <w:rsid w:val="001719BF"/>
    <w:rsid w:val="00171ABE"/>
    <w:rsid w:val="00171BCC"/>
    <w:rsid w:val="00172EBD"/>
    <w:rsid w:val="00173ABF"/>
    <w:rsid w:val="00173B87"/>
    <w:rsid w:val="00174FBB"/>
    <w:rsid w:val="001759AC"/>
    <w:rsid w:val="0017693B"/>
    <w:rsid w:val="0017731D"/>
    <w:rsid w:val="00177C0E"/>
    <w:rsid w:val="00180FB8"/>
    <w:rsid w:val="001812ED"/>
    <w:rsid w:val="0018177A"/>
    <w:rsid w:val="0018191D"/>
    <w:rsid w:val="00181A3C"/>
    <w:rsid w:val="0018241A"/>
    <w:rsid w:val="0018298C"/>
    <w:rsid w:val="00182F88"/>
    <w:rsid w:val="00183282"/>
    <w:rsid w:val="001836A4"/>
    <w:rsid w:val="00183F21"/>
    <w:rsid w:val="001845F3"/>
    <w:rsid w:val="00184AAE"/>
    <w:rsid w:val="0018507A"/>
    <w:rsid w:val="00185BFF"/>
    <w:rsid w:val="0018756C"/>
    <w:rsid w:val="00191488"/>
    <w:rsid w:val="0019153B"/>
    <w:rsid w:val="001918D8"/>
    <w:rsid w:val="0019256C"/>
    <w:rsid w:val="00192EA9"/>
    <w:rsid w:val="00193213"/>
    <w:rsid w:val="00195980"/>
    <w:rsid w:val="0019605F"/>
    <w:rsid w:val="00196366"/>
    <w:rsid w:val="001965E2"/>
    <w:rsid w:val="001971E6"/>
    <w:rsid w:val="0019768F"/>
    <w:rsid w:val="00197F5B"/>
    <w:rsid w:val="001A05C2"/>
    <w:rsid w:val="001A0FCC"/>
    <w:rsid w:val="001A1A49"/>
    <w:rsid w:val="001A2380"/>
    <w:rsid w:val="001A2386"/>
    <w:rsid w:val="001A2D3D"/>
    <w:rsid w:val="001A2E04"/>
    <w:rsid w:val="001A425E"/>
    <w:rsid w:val="001A44C3"/>
    <w:rsid w:val="001A462B"/>
    <w:rsid w:val="001A4874"/>
    <w:rsid w:val="001A4B7C"/>
    <w:rsid w:val="001A4ED2"/>
    <w:rsid w:val="001A576F"/>
    <w:rsid w:val="001A5B3D"/>
    <w:rsid w:val="001A5D1B"/>
    <w:rsid w:val="001A6580"/>
    <w:rsid w:val="001A6787"/>
    <w:rsid w:val="001A683D"/>
    <w:rsid w:val="001A75CC"/>
    <w:rsid w:val="001A7756"/>
    <w:rsid w:val="001A7B59"/>
    <w:rsid w:val="001A7E8A"/>
    <w:rsid w:val="001B0C5B"/>
    <w:rsid w:val="001B117A"/>
    <w:rsid w:val="001B133A"/>
    <w:rsid w:val="001B1893"/>
    <w:rsid w:val="001B1F44"/>
    <w:rsid w:val="001B20FE"/>
    <w:rsid w:val="001B3346"/>
    <w:rsid w:val="001B39B3"/>
    <w:rsid w:val="001B47A7"/>
    <w:rsid w:val="001B4CA8"/>
    <w:rsid w:val="001B6121"/>
    <w:rsid w:val="001B6F5E"/>
    <w:rsid w:val="001C07B5"/>
    <w:rsid w:val="001C2959"/>
    <w:rsid w:val="001C3361"/>
    <w:rsid w:val="001C3648"/>
    <w:rsid w:val="001C449C"/>
    <w:rsid w:val="001C4640"/>
    <w:rsid w:val="001C5ADB"/>
    <w:rsid w:val="001C5CF8"/>
    <w:rsid w:val="001C5D90"/>
    <w:rsid w:val="001C698D"/>
    <w:rsid w:val="001C6EE2"/>
    <w:rsid w:val="001C7253"/>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68B"/>
    <w:rsid w:val="001E6B70"/>
    <w:rsid w:val="001E6E71"/>
    <w:rsid w:val="001E6E72"/>
    <w:rsid w:val="001E749E"/>
    <w:rsid w:val="001F0DA0"/>
    <w:rsid w:val="001F125A"/>
    <w:rsid w:val="001F1F85"/>
    <w:rsid w:val="001F2AE2"/>
    <w:rsid w:val="001F37F8"/>
    <w:rsid w:val="001F3B1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1444"/>
    <w:rsid w:val="00202915"/>
    <w:rsid w:val="00203668"/>
    <w:rsid w:val="00203776"/>
    <w:rsid w:val="00203A7C"/>
    <w:rsid w:val="00203EF0"/>
    <w:rsid w:val="002045F0"/>
    <w:rsid w:val="00204BEA"/>
    <w:rsid w:val="00204F8B"/>
    <w:rsid w:val="002051F7"/>
    <w:rsid w:val="00205730"/>
    <w:rsid w:val="00205C45"/>
    <w:rsid w:val="002061A5"/>
    <w:rsid w:val="00207880"/>
    <w:rsid w:val="00207F7D"/>
    <w:rsid w:val="00210024"/>
    <w:rsid w:val="00210426"/>
    <w:rsid w:val="00210A8C"/>
    <w:rsid w:val="002115B2"/>
    <w:rsid w:val="00212E0E"/>
    <w:rsid w:val="002136ED"/>
    <w:rsid w:val="002146C4"/>
    <w:rsid w:val="002162EA"/>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5516"/>
    <w:rsid w:val="00236401"/>
    <w:rsid w:val="00237449"/>
    <w:rsid w:val="00240132"/>
    <w:rsid w:val="002402DA"/>
    <w:rsid w:val="0024174E"/>
    <w:rsid w:val="002419B9"/>
    <w:rsid w:val="00241DAF"/>
    <w:rsid w:val="002422B7"/>
    <w:rsid w:val="0024263F"/>
    <w:rsid w:val="00242E15"/>
    <w:rsid w:val="002441DB"/>
    <w:rsid w:val="00244475"/>
    <w:rsid w:val="002445B5"/>
    <w:rsid w:val="0024533F"/>
    <w:rsid w:val="002465AB"/>
    <w:rsid w:val="002473F2"/>
    <w:rsid w:val="00250B7D"/>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140A"/>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39FB"/>
    <w:rsid w:val="002740F2"/>
    <w:rsid w:val="00274869"/>
    <w:rsid w:val="00274C16"/>
    <w:rsid w:val="00275614"/>
    <w:rsid w:val="00275802"/>
    <w:rsid w:val="002758BB"/>
    <w:rsid w:val="00275E54"/>
    <w:rsid w:val="00275F80"/>
    <w:rsid w:val="002761EC"/>
    <w:rsid w:val="0027704E"/>
    <w:rsid w:val="00277282"/>
    <w:rsid w:val="002807A7"/>
    <w:rsid w:val="002808BE"/>
    <w:rsid w:val="00280B46"/>
    <w:rsid w:val="00280ED8"/>
    <w:rsid w:val="00282700"/>
    <w:rsid w:val="00282896"/>
    <w:rsid w:val="00282C56"/>
    <w:rsid w:val="00282F37"/>
    <w:rsid w:val="0028335D"/>
    <w:rsid w:val="00284BAC"/>
    <w:rsid w:val="00284D31"/>
    <w:rsid w:val="002850B5"/>
    <w:rsid w:val="00285393"/>
    <w:rsid w:val="00285582"/>
    <w:rsid w:val="002863F0"/>
    <w:rsid w:val="00286946"/>
    <w:rsid w:val="00286D00"/>
    <w:rsid w:val="00286DBF"/>
    <w:rsid w:val="00286F93"/>
    <w:rsid w:val="00287598"/>
    <w:rsid w:val="002878A7"/>
    <w:rsid w:val="00291026"/>
    <w:rsid w:val="0029105E"/>
    <w:rsid w:val="0029163A"/>
    <w:rsid w:val="00291C04"/>
    <w:rsid w:val="00291F77"/>
    <w:rsid w:val="00292299"/>
    <w:rsid w:val="0029256F"/>
    <w:rsid w:val="00293E19"/>
    <w:rsid w:val="00295049"/>
    <w:rsid w:val="0029525B"/>
    <w:rsid w:val="00295608"/>
    <w:rsid w:val="00295ADF"/>
    <w:rsid w:val="002962A0"/>
    <w:rsid w:val="002A006C"/>
    <w:rsid w:val="002A020C"/>
    <w:rsid w:val="002A0221"/>
    <w:rsid w:val="002A0D00"/>
    <w:rsid w:val="002A1E8A"/>
    <w:rsid w:val="002A2D4C"/>
    <w:rsid w:val="002A32BE"/>
    <w:rsid w:val="002A3B4C"/>
    <w:rsid w:val="002A3D43"/>
    <w:rsid w:val="002A42BB"/>
    <w:rsid w:val="002A5825"/>
    <w:rsid w:val="002A591C"/>
    <w:rsid w:val="002A5B26"/>
    <w:rsid w:val="002A655A"/>
    <w:rsid w:val="002A6B81"/>
    <w:rsid w:val="002A7770"/>
    <w:rsid w:val="002A7B11"/>
    <w:rsid w:val="002B090E"/>
    <w:rsid w:val="002B0C4C"/>
    <w:rsid w:val="002B1397"/>
    <w:rsid w:val="002B1D8E"/>
    <w:rsid w:val="002B23F4"/>
    <w:rsid w:val="002B24CD"/>
    <w:rsid w:val="002B315A"/>
    <w:rsid w:val="002B32A6"/>
    <w:rsid w:val="002B47CD"/>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7439"/>
    <w:rsid w:val="002F7659"/>
    <w:rsid w:val="002F7DE8"/>
    <w:rsid w:val="003017FF"/>
    <w:rsid w:val="00301B0B"/>
    <w:rsid w:val="00302382"/>
    <w:rsid w:val="00303ABF"/>
    <w:rsid w:val="00305441"/>
    <w:rsid w:val="00305F45"/>
    <w:rsid w:val="00306F50"/>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4153C"/>
    <w:rsid w:val="003428F0"/>
    <w:rsid w:val="00342AAD"/>
    <w:rsid w:val="00342D10"/>
    <w:rsid w:val="003438A6"/>
    <w:rsid w:val="00344169"/>
    <w:rsid w:val="003441FA"/>
    <w:rsid w:val="00344A18"/>
    <w:rsid w:val="00344D69"/>
    <w:rsid w:val="00345765"/>
    <w:rsid w:val="00347372"/>
    <w:rsid w:val="003474EC"/>
    <w:rsid w:val="00350156"/>
    <w:rsid w:val="00350277"/>
    <w:rsid w:val="00350811"/>
    <w:rsid w:val="003520C2"/>
    <w:rsid w:val="0035221F"/>
    <w:rsid w:val="00352425"/>
    <w:rsid w:val="00352564"/>
    <w:rsid w:val="00352613"/>
    <w:rsid w:val="003527BE"/>
    <w:rsid w:val="00352BBA"/>
    <w:rsid w:val="003539C7"/>
    <w:rsid w:val="00354B63"/>
    <w:rsid w:val="00354D3F"/>
    <w:rsid w:val="003567DC"/>
    <w:rsid w:val="00356FC8"/>
    <w:rsid w:val="00357F93"/>
    <w:rsid w:val="003606A9"/>
    <w:rsid w:val="003606D9"/>
    <w:rsid w:val="003608E7"/>
    <w:rsid w:val="00360D7F"/>
    <w:rsid w:val="00362295"/>
    <w:rsid w:val="00362473"/>
    <w:rsid w:val="00362CFE"/>
    <w:rsid w:val="00364752"/>
    <w:rsid w:val="003655DA"/>
    <w:rsid w:val="003675D2"/>
    <w:rsid w:val="00367BFB"/>
    <w:rsid w:val="00367E12"/>
    <w:rsid w:val="00367F7E"/>
    <w:rsid w:val="003703DE"/>
    <w:rsid w:val="0037074F"/>
    <w:rsid w:val="00370F7B"/>
    <w:rsid w:val="00371CCF"/>
    <w:rsid w:val="00371F82"/>
    <w:rsid w:val="003720B9"/>
    <w:rsid w:val="00372B44"/>
    <w:rsid w:val="00373B6F"/>
    <w:rsid w:val="00374158"/>
    <w:rsid w:val="00374486"/>
    <w:rsid w:val="003753AD"/>
    <w:rsid w:val="00375A7D"/>
    <w:rsid w:val="00375F29"/>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D8A"/>
    <w:rsid w:val="00384437"/>
    <w:rsid w:val="00385974"/>
    <w:rsid w:val="00385B31"/>
    <w:rsid w:val="0038686E"/>
    <w:rsid w:val="00387A00"/>
    <w:rsid w:val="0039011C"/>
    <w:rsid w:val="00391120"/>
    <w:rsid w:val="00391231"/>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220D"/>
    <w:rsid w:val="003F2E9F"/>
    <w:rsid w:val="003F3C2D"/>
    <w:rsid w:val="003F4372"/>
    <w:rsid w:val="003F53F0"/>
    <w:rsid w:val="003F5CBA"/>
    <w:rsid w:val="003F5F87"/>
    <w:rsid w:val="003F61CD"/>
    <w:rsid w:val="003F6A2F"/>
    <w:rsid w:val="003F6AAF"/>
    <w:rsid w:val="004012D6"/>
    <w:rsid w:val="00401479"/>
    <w:rsid w:val="0040192D"/>
    <w:rsid w:val="00402551"/>
    <w:rsid w:val="0040350E"/>
    <w:rsid w:val="0040402B"/>
    <w:rsid w:val="004042FC"/>
    <w:rsid w:val="004046F6"/>
    <w:rsid w:val="0040472F"/>
    <w:rsid w:val="00404F4B"/>
    <w:rsid w:val="004052F0"/>
    <w:rsid w:val="004075B7"/>
    <w:rsid w:val="00407DC9"/>
    <w:rsid w:val="00410EFC"/>
    <w:rsid w:val="00411571"/>
    <w:rsid w:val="00411708"/>
    <w:rsid w:val="00413511"/>
    <w:rsid w:val="00413D83"/>
    <w:rsid w:val="00413ECC"/>
    <w:rsid w:val="004140A3"/>
    <w:rsid w:val="0041482F"/>
    <w:rsid w:val="00415139"/>
    <w:rsid w:val="004156D9"/>
    <w:rsid w:val="004158CB"/>
    <w:rsid w:val="004161A8"/>
    <w:rsid w:val="004161CD"/>
    <w:rsid w:val="00416960"/>
    <w:rsid w:val="00417FC0"/>
    <w:rsid w:val="004211F1"/>
    <w:rsid w:val="00421408"/>
    <w:rsid w:val="00421427"/>
    <w:rsid w:val="00421D52"/>
    <w:rsid w:val="00422848"/>
    <w:rsid w:val="00423605"/>
    <w:rsid w:val="0042486B"/>
    <w:rsid w:val="00424956"/>
    <w:rsid w:val="004251BD"/>
    <w:rsid w:val="00425307"/>
    <w:rsid w:val="00427D9F"/>
    <w:rsid w:val="00430798"/>
    <w:rsid w:val="00431037"/>
    <w:rsid w:val="00432007"/>
    <w:rsid w:val="00433249"/>
    <w:rsid w:val="0043444E"/>
    <w:rsid w:val="00434697"/>
    <w:rsid w:val="00436887"/>
    <w:rsid w:val="00437E33"/>
    <w:rsid w:val="00440646"/>
    <w:rsid w:val="0044175E"/>
    <w:rsid w:val="00441FC3"/>
    <w:rsid w:val="00442A1A"/>
    <w:rsid w:val="004432EF"/>
    <w:rsid w:val="00444B1D"/>
    <w:rsid w:val="00445CC6"/>
    <w:rsid w:val="00446487"/>
    <w:rsid w:val="00446F95"/>
    <w:rsid w:val="004476E8"/>
    <w:rsid w:val="00447BDB"/>
    <w:rsid w:val="00447D4E"/>
    <w:rsid w:val="004505BC"/>
    <w:rsid w:val="004524A1"/>
    <w:rsid w:val="00453952"/>
    <w:rsid w:val="00453D31"/>
    <w:rsid w:val="00455BB6"/>
    <w:rsid w:val="00456683"/>
    <w:rsid w:val="0045680B"/>
    <w:rsid w:val="0045734E"/>
    <w:rsid w:val="0045745E"/>
    <w:rsid w:val="00457A6B"/>
    <w:rsid w:val="00460156"/>
    <w:rsid w:val="0046029C"/>
    <w:rsid w:val="00460BC4"/>
    <w:rsid w:val="00460C44"/>
    <w:rsid w:val="0046114B"/>
    <w:rsid w:val="004612E1"/>
    <w:rsid w:val="004635D1"/>
    <w:rsid w:val="0046364F"/>
    <w:rsid w:val="00463819"/>
    <w:rsid w:val="00464932"/>
    <w:rsid w:val="004649A6"/>
    <w:rsid w:val="00465024"/>
    <w:rsid w:val="0046720B"/>
    <w:rsid w:val="0046774D"/>
    <w:rsid w:val="004703FB"/>
    <w:rsid w:val="004704F2"/>
    <w:rsid w:val="0047056E"/>
    <w:rsid w:val="00470A85"/>
    <w:rsid w:val="00471F15"/>
    <w:rsid w:val="0047267D"/>
    <w:rsid w:val="0047379E"/>
    <w:rsid w:val="00474614"/>
    <w:rsid w:val="004747A0"/>
    <w:rsid w:val="00474CAF"/>
    <w:rsid w:val="00474EF5"/>
    <w:rsid w:val="00474F91"/>
    <w:rsid w:val="00475412"/>
    <w:rsid w:val="00475C3F"/>
    <w:rsid w:val="00475CEA"/>
    <w:rsid w:val="004760EC"/>
    <w:rsid w:val="00476779"/>
    <w:rsid w:val="004768FB"/>
    <w:rsid w:val="00477067"/>
    <w:rsid w:val="00477663"/>
    <w:rsid w:val="0048341C"/>
    <w:rsid w:val="00483773"/>
    <w:rsid w:val="00483B30"/>
    <w:rsid w:val="00484751"/>
    <w:rsid w:val="0048493A"/>
    <w:rsid w:val="00484CCB"/>
    <w:rsid w:val="0048511E"/>
    <w:rsid w:val="0048523C"/>
    <w:rsid w:val="004859DA"/>
    <w:rsid w:val="004860DF"/>
    <w:rsid w:val="004861B3"/>
    <w:rsid w:val="00487302"/>
    <w:rsid w:val="004900DA"/>
    <w:rsid w:val="00490605"/>
    <w:rsid w:val="004909D7"/>
    <w:rsid w:val="00490E63"/>
    <w:rsid w:val="00490FFC"/>
    <w:rsid w:val="00491FCD"/>
    <w:rsid w:val="00492332"/>
    <w:rsid w:val="0049281C"/>
    <w:rsid w:val="00492A87"/>
    <w:rsid w:val="00492B4F"/>
    <w:rsid w:val="0049348E"/>
    <w:rsid w:val="004936B6"/>
    <w:rsid w:val="00495C61"/>
    <w:rsid w:val="00495FF3"/>
    <w:rsid w:val="0049683E"/>
    <w:rsid w:val="004970FF"/>
    <w:rsid w:val="00497DF5"/>
    <w:rsid w:val="004A0755"/>
    <w:rsid w:val="004A10FE"/>
    <w:rsid w:val="004A2252"/>
    <w:rsid w:val="004A22CC"/>
    <w:rsid w:val="004A25EE"/>
    <w:rsid w:val="004A3318"/>
    <w:rsid w:val="004A4173"/>
    <w:rsid w:val="004A4F45"/>
    <w:rsid w:val="004A5A5C"/>
    <w:rsid w:val="004A5E5A"/>
    <w:rsid w:val="004A650D"/>
    <w:rsid w:val="004A65C8"/>
    <w:rsid w:val="004A6D16"/>
    <w:rsid w:val="004A6D8B"/>
    <w:rsid w:val="004A6DC7"/>
    <w:rsid w:val="004A7B23"/>
    <w:rsid w:val="004A7D79"/>
    <w:rsid w:val="004B0FFE"/>
    <w:rsid w:val="004B158E"/>
    <w:rsid w:val="004B166E"/>
    <w:rsid w:val="004B1CF3"/>
    <w:rsid w:val="004B25A3"/>
    <w:rsid w:val="004B275B"/>
    <w:rsid w:val="004B27C6"/>
    <w:rsid w:val="004B4777"/>
    <w:rsid w:val="004B56A5"/>
    <w:rsid w:val="004B5711"/>
    <w:rsid w:val="004B592F"/>
    <w:rsid w:val="004B6887"/>
    <w:rsid w:val="004B6DD9"/>
    <w:rsid w:val="004B6ED1"/>
    <w:rsid w:val="004B6F48"/>
    <w:rsid w:val="004B7887"/>
    <w:rsid w:val="004B7F1C"/>
    <w:rsid w:val="004C07BE"/>
    <w:rsid w:val="004C11F0"/>
    <w:rsid w:val="004C13B8"/>
    <w:rsid w:val="004C1ACF"/>
    <w:rsid w:val="004C21CB"/>
    <w:rsid w:val="004C2407"/>
    <w:rsid w:val="004C291E"/>
    <w:rsid w:val="004C2AD3"/>
    <w:rsid w:val="004C2D06"/>
    <w:rsid w:val="004C3DD7"/>
    <w:rsid w:val="004C410A"/>
    <w:rsid w:val="004C5C16"/>
    <w:rsid w:val="004C64C5"/>
    <w:rsid w:val="004C77E0"/>
    <w:rsid w:val="004D01E5"/>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6009"/>
    <w:rsid w:val="004D6320"/>
    <w:rsid w:val="004D6942"/>
    <w:rsid w:val="004D7D6D"/>
    <w:rsid w:val="004D7DA4"/>
    <w:rsid w:val="004E0044"/>
    <w:rsid w:val="004E029D"/>
    <w:rsid w:val="004E03A8"/>
    <w:rsid w:val="004E0AC7"/>
    <w:rsid w:val="004E0DB1"/>
    <w:rsid w:val="004E1667"/>
    <w:rsid w:val="004E1B33"/>
    <w:rsid w:val="004E2C8F"/>
    <w:rsid w:val="004E37E2"/>
    <w:rsid w:val="004E430C"/>
    <w:rsid w:val="004E514D"/>
    <w:rsid w:val="004E5D3F"/>
    <w:rsid w:val="004E68B2"/>
    <w:rsid w:val="004E6E7E"/>
    <w:rsid w:val="004E7CC8"/>
    <w:rsid w:val="004F0591"/>
    <w:rsid w:val="004F0B34"/>
    <w:rsid w:val="004F3678"/>
    <w:rsid w:val="004F419F"/>
    <w:rsid w:val="004F45DC"/>
    <w:rsid w:val="004F6496"/>
    <w:rsid w:val="004F6519"/>
    <w:rsid w:val="004F72BE"/>
    <w:rsid w:val="0050032E"/>
    <w:rsid w:val="00502881"/>
    <w:rsid w:val="00502AA5"/>
    <w:rsid w:val="00503C98"/>
    <w:rsid w:val="00503DA1"/>
    <w:rsid w:val="0050496C"/>
    <w:rsid w:val="005052E5"/>
    <w:rsid w:val="005056F9"/>
    <w:rsid w:val="0050579E"/>
    <w:rsid w:val="0050794B"/>
    <w:rsid w:val="00507D7C"/>
    <w:rsid w:val="00510199"/>
    <w:rsid w:val="005101DA"/>
    <w:rsid w:val="005107F1"/>
    <w:rsid w:val="00511B06"/>
    <w:rsid w:val="00511C0D"/>
    <w:rsid w:val="005126E5"/>
    <w:rsid w:val="00513475"/>
    <w:rsid w:val="00513F09"/>
    <w:rsid w:val="005141B3"/>
    <w:rsid w:val="005144F9"/>
    <w:rsid w:val="0051471F"/>
    <w:rsid w:val="00514ACC"/>
    <w:rsid w:val="00515762"/>
    <w:rsid w:val="00515AA1"/>
    <w:rsid w:val="00515ECF"/>
    <w:rsid w:val="0051609E"/>
    <w:rsid w:val="00516191"/>
    <w:rsid w:val="0051696E"/>
    <w:rsid w:val="00516ECA"/>
    <w:rsid w:val="00516F84"/>
    <w:rsid w:val="005173E4"/>
    <w:rsid w:val="00521E81"/>
    <w:rsid w:val="005225AF"/>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37C9"/>
    <w:rsid w:val="00533EC2"/>
    <w:rsid w:val="00534118"/>
    <w:rsid w:val="0053478A"/>
    <w:rsid w:val="005352A4"/>
    <w:rsid w:val="0053634A"/>
    <w:rsid w:val="00536427"/>
    <w:rsid w:val="005377DD"/>
    <w:rsid w:val="00540859"/>
    <w:rsid w:val="00540A72"/>
    <w:rsid w:val="005412BA"/>
    <w:rsid w:val="005412BB"/>
    <w:rsid w:val="00542851"/>
    <w:rsid w:val="00542A68"/>
    <w:rsid w:val="00543043"/>
    <w:rsid w:val="005432CF"/>
    <w:rsid w:val="00543763"/>
    <w:rsid w:val="005440B8"/>
    <w:rsid w:val="00544758"/>
    <w:rsid w:val="00544E1D"/>
    <w:rsid w:val="00546909"/>
    <w:rsid w:val="00547CA1"/>
    <w:rsid w:val="00547F2B"/>
    <w:rsid w:val="00550FF6"/>
    <w:rsid w:val="00552280"/>
    <w:rsid w:val="005533F8"/>
    <w:rsid w:val="00553635"/>
    <w:rsid w:val="00553A9F"/>
    <w:rsid w:val="00555DD0"/>
    <w:rsid w:val="00555DF8"/>
    <w:rsid w:val="005560C0"/>
    <w:rsid w:val="00556B23"/>
    <w:rsid w:val="0055725A"/>
    <w:rsid w:val="00560741"/>
    <w:rsid w:val="0056115F"/>
    <w:rsid w:val="00561F31"/>
    <w:rsid w:val="005625D5"/>
    <w:rsid w:val="005654F5"/>
    <w:rsid w:val="005658A0"/>
    <w:rsid w:val="005663E6"/>
    <w:rsid w:val="00566EFD"/>
    <w:rsid w:val="00567EBC"/>
    <w:rsid w:val="005701B4"/>
    <w:rsid w:val="00570783"/>
    <w:rsid w:val="00570849"/>
    <w:rsid w:val="00570C33"/>
    <w:rsid w:val="005710C3"/>
    <w:rsid w:val="005713E3"/>
    <w:rsid w:val="005719C7"/>
    <w:rsid w:val="00571FD5"/>
    <w:rsid w:val="0057264E"/>
    <w:rsid w:val="005738B2"/>
    <w:rsid w:val="00574987"/>
    <w:rsid w:val="00574E4C"/>
    <w:rsid w:val="0057531F"/>
    <w:rsid w:val="00575DDF"/>
    <w:rsid w:val="00576978"/>
    <w:rsid w:val="00576DCA"/>
    <w:rsid w:val="005776BC"/>
    <w:rsid w:val="00577751"/>
    <w:rsid w:val="005778AC"/>
    <w:rsid w:val="00577F8A"/>
    <w:rsid w:val="00580724"/>
    <w:rsid w:val="005811B2"/>
    <w:rsid w:val="00581500"/>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3D70"/>
    <w:rsid w:val="00593E66"/>
    <w:rsid w:val="00593F28"/>
    <w:rsid w:val="005945DC"/>
    <w:rsid w:val="00594DEA"/>
    <w:rsid w:val="005954F7"/>
    <w:rsid w:val="005963FB"/>
    <w:rsid w:val="00596845"/>
    <w:rsid w:val="0059722F"/>
    <w:rsid w:val="005A0046"/>
    <w:rsid w:val="005A029D"/>
    <w:rsid w:val="005A072A"/>
    <w:rsid w:val="005A0A84"/>
    <w:rsid w:val="005A1C15"/>
    <w:rsid w:val="005A2561"/>
    <w:rsid w:val="005A3297"/>
    <w:rsid w:val="005A397D"/>
    <w:rsid w:val="005A44A6"/>
    <w:rsid w:val="005A4D5E"/>
    <w:rsid w:val="005A5065"/>
    <w:rsid w:val="005A5321"/>
    <w:rsid w:val="005A55A9"/>
    <w:rsid w:val="005A6366"/>
    <w:rsid w:val="005A716B"/>
    <w:rsid w:val="005A7275"/>
    <w:rsid w:val="005A7CC5"/>
    <w:rsid w:val="005B09A4"/>
    <w:rsid w:val="005B0D27"/>
    <w:rsid w:val="005B1306"/>
    <w:rsid w:val="005B23D5"/>
    <w:rsid w:val="005B2443"/>
    <w:rsid w:val="005B2791"/>
    <w:rsid w:val="005B2D9E"/>
    <w:rsid w:val="005B3363"/>
    <w:rsid w:val="005B580C"/>
    <w:rsid w:val="005B62D0"/>
    <w:rsid w:val="005B738C"/>
    <w:rsid w:val="005C0248"/>
    <w:rsid w:val="005C1174"/>
    <w:rsid w:val="005C18FE"/>
    <w:rsid w:val="005C19D9"/>
    <w:rsid w:val="005C3EB6"/>
    <w:rsid w:val="005C54CF"/>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784"/>
    <w:rsid w:val="005D51A2"/>
    <w:rsid w:val="005D6635"/>
    <w:rsid w:val="005D6B75"/>
    <w:rsid w:val="005D729E"/>
    <w:rsid w:val="005D78F2"/>
    <w:rsid w:val="005E16FB"/>
    <w:rsid w:val="005E1D23"/>
    <w:rsid w:val="005E1F9D"/>
    <w:rsid w:val="005E252B"/>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146D"/>
    <w:rsid w:val="005F19A6"/>
    <w:rsid w:val="005F25B5"/>
    <w:rsid w:val="005F26EE"/>
    <w:rsid w:val="005F341F"/>
    <w:rsid w:val="005F4FD9"/>
    <w:rsid w:val="005F5642"/>
    <w:rsid w:val="005F5C6C"/>
    <w:rsid w:val="005F5FE9"/>
    <w:rsid w:val="005F63FD"/>
    <w:rsid w:val="005F6ABE"/>
    <w:rsid w:val="005F746C"/>
    <w:rsid w:val="00600D9A"/>
    <w:rsid w:val="006012CC"/>
    <w:rsid w:val="00601507"/>
    <w:rsid w:val="006018CA"/>
    <w:rsid w:val="006022CA"/>
    <w:rsid w:val="00602FCF"/>
    <w:rsid w:val="006036D1"/>
    <w:rsid w:val="00603C8C"/>
    <w:rsid w:val="00603D02"/>
    <w:rsid w:val="00603EE1"/>
    <w:rsid w:val="00603FC8"/>
    <w:rsid w:val="00604125"/>
    <w:rsid w:val="00606860"/>
    <w:rsid w:val="00606E5C"/>
    <w:rsid w:val="00606F88"/>
    <w:rsid w:val="00606FD7"/>
    <w:rsid w:val="006078CB"/>
    <w:rsid w:val="00610ACA"/>
    <w:rsid w:val="00612CD2"/>
    <w:rsid w:val="006130EC"/>
    <w:rsid w:val="00613340"/>
    <w:rsid w:val="00613CBC"/>
    <w:rsid w:val="00614928"/>
    <w:rsid w:val="00615469"/>
    <w:rsid w:val="006159FF"/>
    <w:rsid w:val="00615FA7"/>
    <w:rsid w:val="0061635F"/>
    <w:rsid w:val="00616D13"/>
    <w:rsid w:val="00616EF4"/>
    <w:rsid w:val="00616FCC"/>
    <w:rsid w:val="00617ED3"/>
    <w:rsid w:val="006206E4"/>
    <w:rsid w:val="00620DD7"/>
    <w:rsid w:val="006214DE"/>
    <w:rsid w:val="00621EF5"/>
    <w:rsid w:val="0062211E"/>
    <w:rsid w:val="00622F35"/>
    <w:rsid w:val="006236B8"/>
    <w:rsid w:val="00623851"/>
    <w:rsid w:val="00623A5F"/>
    <w:rsid w:val="00623E6C"/>
    <w:rsid w:val="006245DB"/>
    <w:rsid w:val="00624822"/>
    <w:rsid w:val="00624DB8"/>
    <w:rsid w:val="00626BB3"/>
    <w:rsid w:val="00626E22"/>
    <w:rsid w:val="00627068"/>
    <w:rsid w:val="00627773"/>
    <w:rsid w:val="00627A4E"/>
    <w:rsid w:val="00627F2D"/>
    <w:rsid w:val="00630CAA"/>
    <w:rsid w:val="006318B2"/>
    <w:rsid w:val="0063362E"/>
    <w:rsid w:val="00633952"/>
    <w:rsid w:val="00633DA5"/>
    <w:rsid w:val="006346A1"/>
    <w:rsid w:val="0063473D"/>
    <w:rsid w:val="00634AF0"/>
    <w:rsid w:val="00634CA3"/>
    <w:rsid w:val="006354BC"/>
    <w:rsid w:val="00635754"/>
    <w:rsid w:val="00635799"/>
    <w:rsid w:val="00636CEA"/>
    <w:rsid w:val="00640044"/>
    <w:rsid w:val="006403E0"/>
    <w:rsid w:val="00640439"/>
    <w:rsid w:val="0064052F"/>
    <w:rsid w:val="0064072D"/>
    <w:rsid w:val="00640821"/>
    <w:rsid w:val="00640F09"/>
    <w:rsid w:val="00641CDF"/>
    <w:rsid w:val="00641EB8"/>
    <w:rsid w:val="0064285D"/>
    <w:rsid w:val="00642B2D"/>
    <w:rsid w:val="00643DE7"/>
    <w:rsid w:val="00643E1D"/>
    <w:rsid w:val="006442A2"/>
    <w:rsid w:val="00644BFF"/>
    <w:rsid w:val="00644ED3"/>
    <w:rsid w:val="00644FC4"/>
    <w:rsid w:val="006457BC"/>
    <w:rsid w:val="00645E74"/>
    <w:rsid w:val="00645F96"/>
    <w:rsid w:val="006460EC"/>
    <w:rsid w:val="00647AAC"/>
    <w:rsid w:val="0065054E"/>
    <w:rsid w:val="0065317B"/>
    <w:rsid w:val="00653984"/>
    <w:rsid w:val="00653F5A"/>
    <w:rsid w:val="0065448E"/>
    <w:rsid w:val="00655819"/>
    <w:rsid w:val="0065646B"/>
    <w:rsid w:val="00656737"/>
    <w:rsid w:val="00656747"/>
    <w:rsid w:val="006569B2"/>
    <w:rsid w:val="0065717D"/>
    <w:rsid w:val="0065753A"/>
    <w:rsid w:val="00657DD9"/>
    <w:rsid w:val="006624F6"/>
    <w:rsid w:val="00663AAA"/>
    <w:rsid w:val="00664493"/>
    <w:rsid w:val="00664E2F"/>
    <w:rsid w:val="006651CD"/>
    <w:rsid w:val="00666C7C"/>
    <w:rsid w:val="00670F4D"/>
    <w:rsid w:val="00671464"/>
    <w:rsid w:val="00672035"/>
    <w:rsid w:val="00672232"/>
    <w:rsid w:val="00673015"/>
    <w:rsid w:val="00673F54"/>
    <w:rsid w:val="006748F3"/>
    <w:rsid w:val="006753E7"/>
    <w:rsid w:val="006754D5"/>
    <w:rsid w:val="00675846"/>
    <w:rsid w:val="00675A71"/>
    <w:rsid w:val="00676C51"/>
    <w:rsid w:val="006800EA"/>
    <w:rsid w:val="0068089A"/>
    <w:rsid w:val="00680CAA"/>
    <w:rsid w:val="006814B1"/>
    <w:rsid w:val="006830DC"/>
    <w:rsid w:val="00685396"/>
    <w:rsid w:val="0068693C"/>
    <w:rsid w:val="00687AB3"/>
    <w:rsid w:val="006900D8"/>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7031"/>
    <w:rsid w:val="006B0120"/>
    <w:rsid w:val="006B0844"/>
    <w:rsid w:val="006B0F87"/>
    <w:rsid w:val="006B12CE"/>
    <w:rsid w:val="006B19FE"/>
    <w:rsid w:val="006B1D93"/>
    <w:rsid w:val="006B335F"/>
    <w:rsid w:val="006B35D9"/>
    <w:rsid w:val="006B39D4"/>
    <w:rsid w:val="006B5A20"/>
    <w:rsid w:val="006B69D9"/>
    <w:rsid w:val="006B756B"/>
    <w:rsid w:val="006C033B"/>
    <w:rsid w:val="006C0EEE"/>
    <w:rsid w:val="006C0F60"/>
    <w:rsid w:val="006C1641"/>
    <w:rsid w:val="006C1678"/>
    <w:rsid w:val="006C195E"/>
    <w:rsid w:val="006C1B37"/>
    <w:rsid w:val="006C1CE4"/>
    <w:rsid w:val="006C1E99"/>
    <w:rsid w:val="006C1FF9"/>
    <w:rsid w:val="006C2587"/>
    <w:rsid w:val="006C456D"/>
    <w:rsid w:val="006C4648"/>
    <w:rsid w:val="006C4FB3"/>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427E"/>
    <w:rsid w:val="006D55DF"/>
    <w:rsid w:val="006D5C62"/>
    <w:rsid w:val="006D62EB"/>
    <w:rsid w:val="006D7113"/>
    <w:rsid w:val="006D73CE"/>
    <w:rsid w:val="006D789B"/>
    <w:rsid w:val="006D7E50"/>
    <w:rsid w:val="006D7E8D"/>
    <w:rsid w:val="006E0072"/>
    <w:rsid w:val="006E0273"/>
    <w:rsid w:val="006E0C06"/>
    <w:rsid w:val="006E0C7B"/>
    <w:rsid w:val="006E0F4C"/>
    <w:rsid w:val="006E10EA"/>
    <w:rsid w:val="006E1133"/>
    <w:rsid w:val="006E1B07"/>
    <w:rsid w:val="006E1D27"/>
    <w:rsid w:val="006E3072"/>
    <w:rsid w:val="006E42F4"/>
    <w:rsid w:val="006E4C79"/>
    <w:rsid w:val="006E4F3B"/>
    <w:rsid w:val="006E59E7"/>
    <w:rsid w:val="006E7C31"/>
    <w:rsid w:val="006E7E6C"/>
    <w:rsid w:val="006F007F"/>
    <w:rsid w:val="006F01A4"/>
    <w:rsid w:val="006F04A4"/>
    <w:rsid w:val="006F1D02"/>
    <w:rsid w:val="006F291E"/>
    <w:rsid w:val="006F3479"/>
    <w:rsid w:val="006F3DCB"/>
    <w:rsid w:val="006F4AB2"/>
    <w:rsid w:val="006F4C56"/>
    <w:rsid w:val="006F502D"/>
    <w:rsid w:val="006F50BE"/>
    <w:rsid w:val="006F586F"/>
    <w:rsid w:val="006F5A8F"/>
    <w:rsid w:val="006F5F44"/>
    <w:rsid w:val="006F65C1"/>
    <w:rsid w:val="006F6864"/>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43D"/>
    <w:rsid w:val="00710026"/>
    <w:rsid w:val="007105AA"/>
    <w:rsid w:val="00710CD7"/>
    <w:rsid w:val="00712652"/>
    <w:rsid w:val="00712E4B"/>
    <w:rsid w:val="00712F2A"/>
    <w:rsid w:val="0071302F"/>
    <w:rsid w:val="007144E4"/>
    <w:rsid w:val="0071485F"/>
    <w:rsid w:val="00714F4D"/>
    <w:rsid w:val="007152EC"/>
    <w:rsid w:val="00716257"/>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605D"/>
    <w:rsid w:val="00736094"/>
    <w:rsid w:val="00736F2F"/>
    <w:rsid w:val="00736F85"/>
    <w:rsid w:val="00737099"/>
    <w:rsid w:val="0073740C"/>
    <w:rsid w:val="0073743C"/>
    <w:rsid w:val="0073779D"/>
    <w:rsid w:val="0074082F"/>
    <w:rsid w:val="00740D09"/>
    <w:rsid w:val="00741002"/>
    <w:rsid w:val="00741129"/>
    <w:rsid w:val="0074135D"/>
    <w:rsid w:val="0074178C"/>
    <w:rsid w:val="00742EE6"/>
    <w:rsid w:val="00743918"/>
    <w:rsid w:val="00743B47"/>
    <w:rsid w:val="00744C70"/>
    <w:rsid w:val="00744E74"/>
    <w:rsid w:val="00744ECB"/>
    <w:rsid w:val="007450D8"/>
    <w:rsid w:val="00745AFF"/>
    <w:rsid w:val="00747900"/>
    <w:rsid w:val="00747B30"/>
    <w:rsid w:val="00747D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4010"/>
    <w:rsid w:val="00764858"/>
    <w:rsid w:val="0076485F"/>
    <w:rsid w:val="007661AB"/>
    <w:rsid w:val="00767B52"/>
    <w:rsid w:val="00770378"/>
    <w:rsid w:val="007708CF"/>
    <w:rsid w:val="00771A41"/>
    <w:rsid w:val="00773164"/>
    <w:rsid w:val="00773AC2"/>
    <w:rsid w:val="007742EA"/>
    <w:rsid w:val="0077446F"/>
    <w:rsid w:val="007745C8"/>
    <w:rsid w:val="007749BE"/>
    <w:rsid w:val="00774D29"/>
    <w:rsid w:val="00775F44"/>
    <w:rsid w:val="007763BC"/>
    <w:rsid w:val="00776415"/>
    <w:rsid w:val="0078016F"/>
    <w:rsid w:val="00780830"/>
    <w:rsid w:val="00781787"/>
    <w:rsid w:val="00781AC3"/>
    <w:rsid w:val="00782D42"/>
    <w:rsid w:val="007833C3"/>
    <w:rsid w:val="00783932"/>
    <w:rsid w:val="00783E56"/>
    <w:rsid w:val="00783F31"/>
    <w:rsid w:val="00784394"/>
    <w:rsid w:val="0078483B"/>
    <w:rsid w:val="00784AE1"/>
    <w:rsid w:val="00784ED9"/>
    <w:rsid w:val="00785D71"/>
    <w:rsid w:val="00786379"/>
    <w:rsid w:val="00786CA1"/>
    <w:rsid w:val="00787165"/>
    <w:rsid w:val="00787B43"/>
    <w:rsid w:val="00790610"/>
    <w:rsid w:val="00790D93"/>
    <w:rsid w:val="0079106A"/>
    <w:rsid w:val="007917A5"/>
    <w:rsid w:val="00791AD2"/>
    <w:rsid w:val="00791C49"/>
    <w:rsid w:val="00792BD5"/>
    <w:rsid w:val="007932C6"/>
    <w:rsid w:val="00793661"/>
    <w:rsid w:val="007941C4"/>
    <w:rsid w:val="00794533"/>
    <w:rsid w:val="00794A35"/>
    <w:rsid w:val="00794E52"/>
    <w:rsid w:val="007956B6"/>
    <w:rsid w:val="00795AA5"/>
    <w:rsid w:val="00797196"/>
    <w:rsid w:val="00797979"/>
    <w:rsid w:val="00797CF9"/>
    <w:rsid w:val="007A044D"/>
    <w:rsid w:val="007A086D"/>
    <w:rsid w:val="007A0C86"/>
    <w:rsid w:val="007A136C"/>
    <w:rsid w:val="007A1AD1"/>
    <w:rsid w:val="007A1CDA"/>
    <w:rsid w:val="007A1E39"/>
    <w:rsid w:val="007A28D0"/>
    <w:rsid w:val="007A316F"/>
    <w:rsid w:val="007A3213"/>
    <w:rsid w:val="007A3EEF"/>
    <w:rsid w:val="007A3FB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B20"/>
    <w:rsid w:val="007C1E9F"/>
    <w:rsid w:val="007C2564"/>
    <w:rsid w:val="007C2DC7"/>
    <w:rsid w:val="007C317E"/>
    <w:rsid w:val="007C5797"/>
    <w:rsid w:val="007C6C00"/>
    <w:rsid w:val="007C732A"/>
    <w:rsid w:val="007C7D01"/>
    <w:rsid w:val="007D060C"/>
    <w:rsid w:val="007D2782"/>
    <w:rsid w:val="007D30E5"/>
    <w:rsid w:val="007D35C9"/>
    <w:rsid w:val="007D3E92"/>
    <w:rsid w:val="007D5835"/>
    <w:rsid w:val="007D59B0"/>
    <w:rsid w:val="007D5BEE"/>
    <w:rsid w:val="007D639A"/>
    <w:rsid w:val="007D6EC4"/>
    <w:rsid w:val="007D7D76"/>
    <w:rsid w:val="007E05C4"/>
    <w:rsid w:val="007E086C"/>
    <w:rsid w:val="007E1DED"/>
    <w:rsid w:val="007E1EF7"/>
    <w:rsid w:val="007E215D"/>
    <w:rsid w:val="007E3E92"/>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FDD"/>
    <w:rsid w:val="008068D5"/>
    <w:rsid w:val="00807C16"/>
    <w:rsid w:val="0081042E"/>
    <w:rsid w:val="00811B57"/>
    <w:rsid w:val="00812089"/>
    <w:rsid w:val="008121B9"/>
    <w:rsid w:val="0081222A"/>
    <w:rsid w:val="00814DF9"/>
    <w:rsid w:val="0081566F"/>
    <w:rsid w:val="00815802"/>
    <w:rsid w:val="00815969"/>
    <w:rsid w:val="00815B97"/>
    <w:rsid w:val="00815E11"/>
    <w:rsid w:val="00816B31"/>
    <w:rsid w:val="00816FE0"/>
    <w:rsid w:val="00820C98"/>
    <w:rsid w:val="00820FAA"/>
    <w:rsid w:val="008213F2"/>
    <w:rsid w:val="00821428"/>
    <w:rsid w:val="00821D29"/>
    <w:rsid w:val="008231F1"/>
    <w:rsid w:val="0082334A"/>
    <w:rsid w:val="008263EC"/>
    <w:rsid w:val="00826FBA"/>
    <w:rsid w:val="00827068"/>
    <w:rsid w:val="00827886"/>
    <w:rsid w:val="0083004A"/>
    <w:rsid w:val="008307DF"/>
    <w:rsid w:val="00832B9A"/>
    <w:rsid w:val="00832E78"/>
    <w:rsid w:val="0083435A"/>
    <w:rsid w:val="00834A52"/>
    <w:rsid w:val="00834D52"/>
    <w:rsid w:val="00834D8A"/>
    <w:rsid w:val="00834E64"/>
    <w:rsid w:val="00835B84"/>
    <w:rsid w:val="00836335"/>
    <w:rsid w:val="00836BD8"/>
    <w:rsid w:val="008373EA"/>
    <w:rsid w:val="0083744F"/>
    <w:rsid w:val="0084008F"/>
    <w:rsid w:val="008401B0"/>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61AC"/>
    <w:rsid w:val="008463E2"/>
    <w:rsid w:val="0084643E"/>
    <w:rsid w:val="00847A26"/>
    <w:rsid w:val="008506D3"/>
    <w:rsid w:val="00850B2A"/>
    <w:rsid w:val="008510A1"/>
    <w:rsid w:val="0085149C"/>
    <w:rsid w:val="0085177C"/>
    <w:rsid w:val="00851FE3"/>
    <w:rsid w:val="00852445"/>
    <w:rsid w:val="00852E61"/>
    <w:rsid w:val="00853505"/>
    <w:rsid w:val="00853559"/>
    <w:rsid w:val="008537BD"/>
    <w:rsid w:val="00854970"/>
    <w:rsid w:val="00854BB5"/>
    <w:rsid w:val="00854EC6"/>
    <w:rsid w:val="00855574"/>
    <w:rsid w:val="0085567B"/>
    <w:rsid w:val="008558EE"/>
    <w:rsid w:val="00855F39"/>
    <w:rsid w:val="008567DD"/>
    <w:rsid w:val="0085681C"/>
    <w:rsid w:val="0085691A"/>
    <w:rsid w:val="00856FF2"/>
    <w:rsid w:val="00857250"/>
    <w:rsid w:val="00864A1C"/>
    <w:rsid w:val="00865F29"/>
    <w:rsid w:val="008676F3"/>
    <w:rsid w:val="008678A0"/>
    <w:rsid w:val="00867A8C"/>
    <w:rsid w:val="00870280"/>
    <w:rsid w:val="0087037B"/>
    <w:rsid w:val="00871B03"/>
    <w:rsid w:val="0087207E"/>
    <w:rsid w:val="008723D1"/>
    <w:rsid w:val="00873AB2"/>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85D91"/>
    <w:rsid w:val="00892DEA"/>
    <w:rsid w:val="00892FCE"/>
    <w:rsid w:val="00893B4C"/>
    <w:rsid w:val="00893D40"/>
    <w:rsid w:val="00894ED8"/>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57E7"/>
    <w:rsid w:val="008A636C"/>
    <w:rsid w:val="008A69A9"/>
    <w:rsid w:val="008A7296"/>
    <w:rsid w:val="008A7679"/>
    <w:rsid w:val="008B01F6"/>
    <w:rsid w:val="008B0FF4"/>
    <w:rsid w:val="008B1B37"/>
    <w:rsid w:val="008B1B83"/>
    <w:rsid w:val="008B23FB"/>
    <w:rsid w:val="008B2923"/>
    <w:rsid w:val="008B29C6"/>
    <w:rsid w:val="008B3328"/>
    <w:rsid w:val="008B3351"/>
    <w:rsid w:val="008B3FA5"/>
    <w:rsid w:val="008B589E"/>
    <w:rsid w:val="008B6F5F"/>
    <w:rsid w:val="008C0844"/>
    <w:rsid w:val="008C0F9F"/>
    <w:rsid w:val="008C24EA"/>
    <w:rsid w:val="008C347A"/>
    <w:rsid w:val="008C4C7C"/>
    <w:rsid w:val="008C4D81"/>
    <w:rsid w:val="008C51D1"/>
    <w:rsid w:val="008C5436"/>
    <w:rsid w:val="008C6BE1"/>
    <w:rsid w:val="008C6C14"/>
    <w:rsid w:val="008D0109"/>
    <w:rsid w:val="008D11E9"/>
    <w:rsid w:val="008D2751"/>
    <w:rsid w:val="008D3F3B"/>
    <w:rsid w:val="008D4C10"/>
    <w:rsid w:val="008D76C0"/>
    <w:rsid w:val="008D7818"/>
    <w:rsid w:val="008D79AA"/>
    <w:rsid w:val="008D7C42"/>
    <w:rsid w:val="008E00E7"/>
    <w:rsid w:val="008E3593"/>
    <w:rsid w:val="008E3C89"/>
    <w:rsid w:val="008E42CC"/>
    <w:rsid w:val="008E48B0"/>
    <w:rsid w:val="008E4ABA"/>
    <w:rsid w:val="008E69D7"/>
    <w:rsid w:val="008E6B95"/>
    <w:rsid w:val="008E798E"/>
    <w:rsid w:val="008F02CB"/>
    <w:rsid w:val="008F0567"/>
    <w:rsid w:val="008F0C8E"/>
    <w:rsid w:val="008F2B98"/>
    <w:rsid w:val="008F2CEA"/>
    <w:rsid w:val="008F2FDF"/>
    <w:rsid w:val="008F434A"/>
    <w:rsid w:val="008F4AE6"/>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6E0"/>
    <w:rsid w:val="009279EC"/>
    <w:rsid w:val="00930117"/>
    <w:rsid w:val="009304E7"/>
    <w:rsid w:val="0093053D"/>
    <w:rsid w:val="00932BB4"/>
    <w:rsid w:val="0093393E"/>
    <w:rsid w:val="009340B8"/>
    <w:rsid w:val="0093542A"/>
    <w:rsid w:val="0093647D"/>
    <w:rsid w:val="009364FB"/>
    <w:rsid w:val="009376D1"/>
    <w:rsid w:val="009403AF"/>
    <w:rsid w:val="00940897"/>
    <w:rsid w:val="00940E23"/>
    <w:rsid w:val="009411D4"/>
    <w:rsid w:val="0094124A"/>
    <w:rsid w:val="00941757"/>
    <w:rsid w:val="00942317"/>
    <w:rsid w:val="0094420E"/>
    <w:rsid w:val="00944A8E"/>
    <w:rsid w:val="00944EED"/>
    <w:rsid w:val="009455CC"/>
    <w:rsid w:val="00945FD6"/>
    <w:rsid w:val="0094656D"/>
    <w:rsid w:val="009468CE"/>
    <w:rsid w:val="009470D6"/>
    <w:rsid w:val="00947959"/>
    <w:rsid w:val="0095028A"/>
    <w:rsid w:val="00951944"/>
    <w:rsid w:val="00951D0B"/>
    <w:rsid w:val="009520DB"/>
    <w:rsid w:val="00952D7D"/>
    <w:rsid w:val="00953616"/>
    <w:rsid w:val="00953879"/>
    <w:rsid w:val="0095455D"/>
    <w:rsid w:val="00955215"/>
    <w:rsid w:val="00955493"/>
    <w:rsid w:val="00957913"/>
    <w:rsid w:val="00957F7C"/>
    <w:rsid w:val="009604BE"/>
    <w:rsid w:val="0096090D"/>
    <w:rsid w:val="009611CF"/>
    <w:rsid w:val="0096122E"/>
    <w:rsid w:val="00961354"/>
    <w:rsid w:val="009617CA"/>
    <w:rsid w:val="00961B6E"/>
    <w:rsid w:val="00963D94"/>
    <w:rsid w:val="009649D7"/>
    <w:rsid w:val="00965076"/>
    <w:rsid w:val="009659F6"/>
    <w:rsid w:val="00965AFD"/>
    <w:rsid w:val="00965D4D"/>
    <w:rsid w:val="00966A3E"/>
    <w:rsid w:val="009671EC"/>
    <w:rsid w:val="00967377"/>
    <w:rsid w:val="009677F1"/>
    <w:rsid w:val="0097069B"/>
    <w:rsid w:val="00970A6E"/>
    <w:rsid w:val="00970C67"/>
    <w:rsid w:val="00971E56"/>
    <w:rsid w:val="00972491"/>
    <w:rsid w:val="00973815"/>
    <w:rsid w:val="00973FDE"/>
    <w:rsid w:val="009743CD"/>
    <w:rsid w:val="00974813"/>
    <w:rsid w:val="00974905"/>
    <w:rsid w:val="00974F14"/>
    <w:rsid w:val="00975D4E"/>
    <w:rsid w:val="00975E63"/>
    <w:rsid w:val="00976B53"/>
    <w:rsid w:val="00976D93"/>
    <w:rsid w:val="00977389"/>
    <w:rsid w:val="009779E0"/>
    <w:rsid w:val="00980562"/>
    <w:rsid w:val="009814CD"/>
    <w:rsid w:val="00982CF5"/>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E69"/>
    <w:rsid w:val="009944D8"/>
    <w:rsid w:val="009946CF"/>
    <w:rsid w:val="009952F2"/>
    <w:rsid w:val="00995780"/>
    <w:rsid w:val="009959F0"/>
    <w:rsid w:val="009960A1"/>
    <w:rsid w:val="00996528"/>
    <w:rsid w:val="00997AEC"/>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157F"/>
    <w:rsid w:val="009B15E0"/>
    <w:rsid w:val="009B2940"/>
    <w:rsid w:val="009B2CDF"/>
    <w:rsid w:val="009B3322"/>
    <w:rsid w:val="009B4291"/>
    <w:rsid w:val="009B5A46"/>
    <w:rsid w:val="009B6463"/>
    <w:rsid w:val="009B65BC"/>
    <w:rsid w:val="009B67C5"/>
    <w:rsid w:val="009B714D"/>
    <w:rsid w:val="009B720C"/>
    <w:rsid w:val="009B752D"/>
    <w:rsid w:val="009B7D1B"/>
    <w:rsid w:val="009C0AE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CB0"/>
    <w:rsid w:val="009E0604"/>
    <w:rsid w:val="009E1E40"/>
    <w:rsid w:val="009E2B63"/>
    <w:rsid w:val="009E2BDF"/>
    <w:rsid w:val="009E2C2C"/>
    <w:rsid w:val="009E36EA"/>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1593"/>
    <w:rsid w:val="00A01CF7"/>
    <w:rsid w:val="00A03F44"/>
    <w:rsid w:val="00A04EB9"/>
    <w:rsid w:val="00A04F56"/>
    <w:rsid w:val="00A057C0"/>
    <w:rsid w:val="00A0715A"/>
    <w:rsid w:val="00A0736F"/>
    <w:rsid w:val="00A07617"/>
    <w:rsid w:val="00A07BFA"/>
    <w:rsid w:val="00A101D9"/>
    <w:rsid w:val="00A10AA1"/>
    <w:rsid w:val="00A10B1E"/>
    <w:rsid w:val="00A12EC7"/>
    <w:rsid w:val="00A138CA"/>
    <w:rsid w:val="00A14471"/>
    <w:rsid w:val="00A14C71"/>
    <w:rsid w:val="00A158AD"/>
    <w:rsid w:val="00A1659E"/>
    <w:rsid w:val="00A16E6F"/>
    <w:rsid w:val="00A17197"/>
    <w:rsid w:val="00A17A18"/>
    <w:rsid w:val="00A2053B"/>
    <w:rsid w:val="00A21A9A"/>
    <w:rsid w:val="00A23605"/>
    <w:rsid w:val="00A236DC"/>
    <w:rsid w:val="00A25299"/>
    <w:rsid w:val="00A2568F"/>
    <w:rsid w:val="00A25A20"/>
    <w:rsid w:val="00A25F35"/>
    <w:rsid w:val="00A26B54"/>
    <w:rsid w:val="00A277C8"/>
    <w:rsid w:val="00A27BA7"/>
    <w:rsid w:val="00A31F8A"/>
    <w:rsid w:val="00A32401"/>
    <w:rsid w:val="00A324DB"/>
    <w:rsid w:val="00A34A7D"/>
    <w:rsid w:val="00A3569C"/>
    <w:rsid w:val="00A35D8F"/>
    <w:rsid w:val="00A36786"/>
    <w:rsid w:val="00A36893"/>
    <w:rsid w:val="00A37EB8"/>
    <w:rsid w:val="00A40A8C"/>
    <w:rsid w:val="00A41767"/>
    <w:rsid w:val="00A42F72"/>
    <w:rsid w:val="00A43E21"/>
    <w:rsid w:val="00A43E4F"/>
    <w:rsid w:val="00A43F95"/>
    <w:rsid w:val="00A44CB2"/>
    <w:rsid w:val="00A45186"/>
    <w:rsid w:val="00A4534B"/>
    <w:rsid w:val="00A46B2C"/>
    <w:rsid w:val="00A4716D"/>
    <w:rsid w:val="00A473E1"/>
    <w:rsid w:val="00A4775E"/>
    <w:rsid w:val="00A477E0"/>
    <w:rsid w:val="00A5069B"/>
    <w:rsid w:val="00A50A93"/>
    <w:rsid w:val="00A50AE2"/>
    <w:rsid w:val="00A517C2"/>
    <w:rsid w:val="00A52048"/>
    <w:rsid w:val="00A52D32"/>
    <w:rsid w:val="00A53959"/>
    <w:rsid w:val="00A54478"/>
    <w:rsid w:val="00A54759"/>
    <w:rsid w:val="00A54F3B"/>
    <w:rsid w:val="00A55302"/>
    <w:rsid w:val="00A55DE5"/>
    <w:rsid w:val="00A56DB2"/>
    <w:rsid w:val="00A571D1"/>
    <w:rsid w:val="00A57803"/>
    <w:rsid w:val="00A57B22"/>
    <w:rsid w:val="00A57D1C"/>
    <w:rsid w:val="00A6012D"/>
    <w:rsid w:val="00A60D78"/>
    <w:rsid w:val="00A61295"/>
    <w:rsid w:val="00A619E6"/>
    <w:rsid w:val="00A61CED"/>
    <w:rsid w:val="00A6247D"/>
    <w:rsid w:val="00A62A53"/>
    <w:rsid w:val="00A649C6"/>
    <w:rsid w:val="00A6590C"/>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60B5"/>
    <w:rsid w:val="00A77E02"/>
    <w:rsid w:val="00A800E5"/>
    <w:rsid w:val="00A80825"/>
    <w:rsid w:val="00A8122C"/>
    <w:rsid w:val="00A81F16"/>
    <w:rsid w:val="00A81F36"/>
    <w:rsid w:val="00A824A2"/>
    <w:rsid w:val="00A826A2"/>
    <w:rsid w:val="00A82D5E"/>
    <w:rsid w:val="00A85401"/>
    <w:rsid w:val="00A85FA6"/>
    <w:rsid w:val="00A86A0D"/>
    <w:rsid w:val="00A86BFF"/>
    <w:rsid w:val="00A877A8"/>
    <w:rsid w:val="00A87B0A"/>
    <w:rsid w:val="00A87B7D"/>
    <w:rsid w:val="00A918DC"/>
    <w:rsid w:val="00A91C99"/>
    <w:rsid w:val="00A91C9C"/>
    <w:rsid w:val="00A91CCB"/>
    <w:rsid w:val="00A936E9"/>
    <w:rsid w:val="00A94085"/>
    <w:rsid w:val="00A94254"/>
    <w:rsid w:val="00A945B8"/>
    <w:rsid w:val="00A962E0"/>
    <w:rsid w:val="00A96394"/>
    <w:rsid w:val="00A971B2"/>
    <w:rsid w:val="00AA000A"/>
    <w:rsid w:val="00AA06AD"/>
    <w:rsid w:val="00AA116D"/>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269C"/>
    <w:rsid w:val="00AB40C6"/>
    <w:rsid w:val="00AB4237"/>
    <w:rsid w:val="00AB4356"/>
    <w:rsid w:val="00AB4ED7"/>
    <w:rsid w:val="00AB50E2"/>
    <w:rsid w:val="00AB5446"/>
    <w:rsid w:val="00AB6C9E"/>
    <w:rsid w:val="00AB6D30"/>
    <w:rsid w:val="00AB7191"/>
    <w:rsid w:val="00AB76F6"/>
    <w:rsid w:val="00AC07AD"/>
    <w:rsid w:val="00AC095A"/>
    <w:rsid w:val="00AC10E2"/>
    <w:rsid w:val="00AC1CA2"/>
    <w:rsid w:val="00AC31A0"/>
    <w:rsid w:val="00AC38F9"/>
    <w:rsid w:val="00AC3E64"/>
    <w:rsid w:val="00AC6730"/>
    <w:rsid w:val="00AC6B5B"/>
    <w:rsid w:val="00AD00B9"/>
    <w:rsid w:val="00AD0A16"/>
    <w:rsid w:val="00AD0E23"/>
    <w:rsid w:val="00AD17BB"/>
    <w:rsid w:val="00AD3082"/>
    <w:rsid w:val="00AD31BA"/>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D77AE"/>
    <w:rsid w:val="00AE0EB9"/>
    <w:rsid w:val="00AE1269"/>
    <w:rsid w:val="00AE1772"/>
    <w:rsid w:val="00AE1BEF"/>
    <w:rsid w:val="00AE32C0"/>
    <w:rsid w:val="00AE3513"/>
    <w:rsid w:val="00AE3D3C"/>
    <w:rsid w:val="00AE52A9"/>
    <w:rsid w:val="00AE639F"/>
    <w:rsid w:val="00AE7EF7"/>
    <w:rsid w:val="00AE7F75"/>
    <w:rsid w:val="00AF096B"/>
    <w:rsid w:val="00AF1F64"/>
    <w:rsid w:val="00AF2422"/>
    <w:rsid w:val="00AF2B9A"/>
    <w:rsid w:val="00AF2FBF"/>
    <w:rsid w:val="00AF3B7B"/>
    <w:rsid w:val="00AF3BB5"/>
    <w:rsid w:val="00AF4229"/>
    <w:rsid w:val="00AF500B"/>
    <w:rsid w:val="00AF5581"/>
    <w:rsid w:val="00AF5B6E"/>
    <w:rsid w:val="00AF761A"/>
    <w:rsid w:val="00AF7D65"/>
    <w:rsid w:val="00B00861"/>
    <w:rsid w:val="00B02388"/>
    <w:rsid w:val="00B035D0"/>
    <w:rsid w:val="00B03727"/>
    <w:rsid w:val="00B03777"/>
    <w:rsid w:val="00B0390C"/>
    <w:rsid w:val="00B04156"/>
    <w:rsid w:val="00B04480"/>
    <w:rsid w:val="00B04861"/>
    <w:rsid w:val="00B05C5D"/>
    <w:rsid w:val="00B0613A"/>
    <w:rsid w:val="00B065B8"/>
    <w:rsid w:val="00B06A5A"/>
    <w:rsid w:val="00B06C1E"/>
    <w:rsid w:val="00B07DD3"/>
    <w:rsid w:val="00B10188"/>
    <w:rsid w:val="00B11B16"/>
    <w:rsid w:val="00B11C54"/>
    <w:rsid w:val="00B11DC6"/>
    <w:rsid w:val="00B132F8"/>
    <w:rsid w:val="00B13327"/>
    <w:rsid w:val="00B1352A"/>
    <w:rsid w:val="00B13C11"/>
    <w:rsid w:val="00B149C7"/>
    <w:rsid w:val="00B159EF"/>
    <w:rsid w:val="00B15B39"/>
    <w:rsid w:val="00B16DB9"/>
    <w:rsid w:val="00B17158"/>
    <w:rsid w:val="00B20079"/>
    <w:rsid w:val="00B20247"/>
    <w:rsid w:val="00B20A5A"/>
    <w:rsid w:val="00B20CA9"/>
    <w:rsid w:val="00B20F1D"/>
    <w:rsid w:val="00B22760"/>
    <w:rsid w:val="00B22DFB"/>
    <w:rsid w:val="00B22FF3"/>
    <w:rsid w:val="00B235F3"/>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669C"/>
    <w:rsid w:val="00B36932"/>
    <w:rsid w:val="00B372CD"/>
    <w:rsid w:val="00B379EB"/>
    <w:rsid w:val="00B37E96"/>
    <w:rsid w:val="00B40937"/>
    <w:rsid w:val="00B40CFC"/>
    <w:rsid w:val="00B41F43"/>
    <w:rsid w:val="00B42019"/>
    <w:rsid w:val="00B4282E"/>
    <w:rsid w:val="00B434D0"/>
    <w:rsid w:val="00B434DA"/>
    <w:rsid w:val="00B4366E"/>
    <w:rsid w:val="00B4595C"/>
    <w:rsid w:val="00B45EF1"/>
    <w:rsid w:val="00B4618C"/>
    <w:rsid w:val="00B4693B"/>
    <w:rsid w:val="00B5026E"/>
    <w:rsid w:val="00B50940"/>
    <w:rsid w:val="00B549D1"/>
    <w:rsid w:val="00B5548D"/>
    <w:rsid w:val="00B563BB"/>
    <w:rsid w:val="00B567C8"/>
    <w:rsid w:val="00B56CE1"/>
    <w:rsid w:val="00B60627"/>
    <w:rsid w:val="00B63862"/>
    <w:rsid w:val="00B63EFC"/>
    <w:rsid w:val="00B64A49"/>
    <w:rsid w:val="00B659C7"/>
    <w:rsid w:val="00B660AD"/>
    <w:rsid w:val="00B66246"/>
    <w:rsid w:val="00B66AF8"/>
    <w:rsid w:val="00B66C56"/>
    <w:rsid w:val="00B66E18"/>
    <w:rsid w:val="00B66EF9"/>
    <w:rsid w:val="00B6720B"/>
    <w:rsid w:val="00B67AF4"/>
    <w:rsid w:val="00B71243"/>
    <w:rsid w:val="00B71FF7"/>
    <w:rsid w:val="00B72231"/>
    <w:rsid w:val="00B73CF7"/>
    <w:rsid w:val="00B74A1C"/>
    <w:rsid w:val="00B75543"/>
    <w:rsid w:val="00B758E2"/>
    <w:rsid w:val="00B75A41"/>
    <w:rsid w:val="00B75DA8"/>
    <w:rsid w:val="00B75DED"/>
    <w:rsid w:val="00B75EC1"/>
    <w:rsid w:val="00B7653F"/>
    <w:rsid w:val="00B76627"/>
    <w:rsid w:val="00B77028"/>
    <w:rsid w:val="00B77116"/>
    <w:rsid w:val="00B773CA"/>
    <w:rsid w:val="00B774D0"/>
    <w:rsid w:val="00B80F0C"/>
    <w:rsid w:val="00B80F7B"/>
    <w:rsid w:val="00B8181B"/>
    <w:rsid w:val="00B827EF"/>
    <w:rsid w:val="00B82CC3"/>
    <w:rsid w:val="00B8343C"/>
    <w:rsid w:val="00B83C25"/>
    <w:rsid w:val="00B8508A"/>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419A"/>
    <w:rsid w:val="00B95CEE"/>
    <w:rsid w:val="00B96362"/>
    <w:rsid w:val="00B96906"/>
    <w:rsid w:val="00B969BD"/>
    <w:rsid w:val="00B96BF0"/>
    <w:rsid w:val="00BA0622"/>
    <w:rsid w:val="00BA0BD9"/>
    <w:rsid w:val="00BA14B9"/>
    <w:rsid w:val="00BA1A23"/>
    <w:rsid w:val="00BA21B6"/>
    <w:rsid w:val="00BA22A5"/>
    <w:rsid w:val="00BA242B"/>
    <w:rsid w:val="00BA2805"/>
    <w:rsid w:val="00BA29C8"/>
    <w:rsid w:val="00BA384F"/>
    <w:rsid w:val="00BA3F4C"/>
    <w:rsid w:val="00BA58BF"/>
    <w:rsid w:val="00BA5B26"/>
    <w:rsid w:val="00BA67C3"/>
    <w:rsid w:val="00BA74CF"/>
    <w:rsid w:val="00BA7536"/>
    <w:rsid w:val="00BB0718"/>
    <w:rsid w:val="00BB0AAC"/>
    <w:rsid w:val="00BB0B0B"/>
    <w:rsid w:val="00BB0FD2"/>
    <w:rsid w:val="00BB323D"/>
    <w:rsid w:val="00BB382D"/>
    <w:rsid w:val="00BB3C68"/>
    <w:rsid w:val="00BB47FD"/>
    <w:rsid w:val="00BB68EB"/>
    <w:rsid w:val="00BB6DF2"/>
    <w:rsid w:val="00BB77BD"/>
    <w:rsid w:val="00BC0AD5"/>
    <w:rsid w:val="00BC19C9"/>
    <w:rsid w:val="00BC253E"/>
    <w:rsid w:val="00BC3A6E"/>
    <w:rsid w:val="00BC3CD4"/>
    <w:rsid w:val="00BC5348"/>
    <w:rsid w:val="00BC54A7"/>
    <w:rsid w:val="00BC568B"/>
    <w:rsid w:val="00BD0877"/>
    <w:rsid w:val="00BD0F96"/>
    <w:rsid w:val="00BD290D"/>
    <w:rsid w:val="00BD2977"/>
    <w:rsid w:val="00BD2B36"/>
    <w:rsid w:val="00BD38BA"/>
    <w:rsid w:val="00BE0743"/>
    <w:rsid w:val="00BE0CA4"/>
    <w:rsid w:val="00BE1523"/>
    <w:rsid w:val="00BE1D0E"/>
    <w:rsid w:val="00BE264E"/>
    <w:rsid w:val="00BE356B"/>
    <w:rsid w:val="00BE5A64"/>
    <w:rsid w:val="00BE6F18"/>
    <w:rsid w:val="00BE7503"/>
    <w:rsid w:val="00BE78BC"/>
    <w:rsid w:val="00BE79B1"/>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C3C"/>
    <w:rsid w:val="00C11C96"/>
    <w:rsid w:val="00C12176"/>
    <w:rsid w:val="00C12A29"/>
    <w:rsid w:val="00C12E15"/>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9DC"/>
    <w:rsid w:val="00C36151"/>
    <w:rsid w:val="00C375CD"/>
    <w:rsid w:val="00C37870"/>
    <w:rsid w:val="00C37B63"/>
    <w:rsid w:val="00C40BF8"/>
    <w:rsid w:val="00C4184D"/>
    <w:rsid w:val="00C4266E"/>
    <w:rsid w:val="00C42DE2"/>
    <w:rsid w:val="00C4335D"/>
    <w:rsid w:val="00C44945"/>
    <w:rsid w:val="00C44AA8"/>
    <w:rsid w:val="00C45007"/>
    <w:rsid w:val="00C46F06"/>
    <w:rsid w:val="00C47BCB"/>
    <w:rsid w:val="00C500F4"/>
    <w:rsid w:val="00C506F3"/>
    <w:rsid w:val="00C5164B"/>
    <w:rsid w:val="00C51FC9"/>
    <w:rsid w:val="00C53CD7"/>
    <w:rsid w:val="00C5438F"/>
    <w:rsid w:val="00C5451D"/>
    <w:rsid w:val="00C550EA"/>
    <w:rsid w:val="00C55E11"/>
    <w:rsid w:val="00C607C5"/>
    <w:rsid w:val="00C607E7"/>
    <w:rsid w:val="00C60EA5"/>
    <w:rsid w:val="00C63214"/>
    <w:rsid w:val="00C63F5C"/>
    <w:rsid w:val="00C63FD9"/>
    <w:rsid w:val="00C64143"/>
    <w:rsid w:val="00C64CDB"/>
    <w:rsid w:val="00C65124"/>
    <w:rsid w:val="00C651ED"/>
    <w:rsid w:val="00C653CE"/>
    <w:rsid w:val="00C65CB1"/>
    <w:rsid w:val="00C668BD"/>
    <w:rsid w:val="00C67744"/>
    <w:rsid w:val="00C7002F"/>
    <w:rsid w:val="00C7033A"/>
    <w:rsid w:val="00C7114A"/>
    <w:rsid w:val="00C71A8F"/>
    <w:rsid w:val="00C71EB0"/>
    <w:rsid w:val="00C7247B"/>
    <w:rsid w:val="00C73223"/>
    <w:rsid w:val="00C734F3"/>
    <w:rsid w:val="00C74ED5"/>
    <w:rsid w:val="00C750F9"/>
    <w:rsid w:val="00C75451"/>
    <w:rsid w:val="00C75527"/>
    <w:rsid w:val="00C757A9"/>
    <w:rsid w:val="00C7664F"/>
    <w:rsid w:val="00C80043"/>
    <w:rsid w:val="00C80D30"/>
    <w:rsid w:val="00C82193"/>
    <w:rsid w:val="00C82365"/>
    <w:rsid w:val="00C832D0"/>
    <w:rsid w:val="00C84225"/>
    <w:rsid w:val="00C844D7"/>
    <w:rsid w:val="00C84A2D"/>
    <w:rsid w:val="00C84FD8"/>
    <w:rsid w:val="00C85307"/>
    <w:rsid w:val="00C85A7B"/>
    <w:rsid w:val="00C85AA9"/>
    <w:rsid w:val="00C85B8A"/>
    <w:rsid w:val="00C85FB6"/>
    <w:rsid w:val="00C86AF8"/>
    <w:rsid w:val="00C8704A"/>
    <w:rsid w:val="00C87354"/>
    <w:rsid w:val="00C9086B"/>
    <w:rsid w:val="00C93D05"/>
    <w:rsid w:val="00C944C5"/>
    <w:rsid w:val="00C95315"/>
    <w:rsid w:val="00C96FEB"/>
    <w:rsid w:val="00C975A0"/>
    <w:rsid w:val="00C97D4D"/>
    <w:rsid w:val="00CA00D9"/>
    <w:rsid w:val="00CA0708"/>
    <w:rsid w:val="00CA0D10"/>
    <w:rsid w:val="00CA1C22"/>
    <w:rsid w:val="00CA37DD"/>
    <w:rsid w:val="00CA3EF7"/>
    <w:rsid w:val="00CA4D7D"/>
    <w:rsid w:val="00CA4EFB"/>
    <w:rsid w:val="00CA6419"/>
    <w:rsid w:val="00CB0175"/>
    <w:rsid w:val="00CB0C34"/>
    <w:rsid w:val="00CB120A"/>
    <w:rsid w:val="00CB192B"/>
    <w:rsid w:val="00CB1E0C"/>
    <w:rsid w:val="00CB2067"/>
    <w:rsid w:val="00CB35B1"/>
    <w:rsid w:val="00CB434A"/>
    <w:rsid w:val="00CB4450"/>
    <w:rsid w:val="00CB451D"/>
    <w:rsid w:val="00CB5C90"/>
    <w:rsid w:val="00CB6545"/>
    <w:rsid w:val="00CB65E6"/>
    <w:rsid w:val="00CB6C4E"/>
    <w:rsid w:val="00CB6E5B"/>
    <w:rsid w:val="00CB7AA5"/>
    <w:rsid w:val="00CC1C2E"/>
    <w:rsid w:val="00CC2769"/>
    <w:rsid w:val="00CC3A8C"/>
    <w:rsid w:val="00CC4833"/>
    <w:rsid w:val="00CC5170"/>
    <w:rsid w:val="00CC6CA0"/>
    <w:rsid w:val="00CC7054"/>
    <w:rsid w:val="00CC709A"/>
    <w:rsid w:val="00CC7A3B"/>
    <w:rsid w:val="00CC7ABB"/>
    <w:rsid w:val="00CD00AC"/>
    <w:rsid w:val="00CD041B"/>
    <w:rsid w:val="00CD0751"/>
    <w:rsid w:val="00CD0A28"/>
    <w:rsid w:val="00CD0EB0"/>
    <w:rsid w:val="00CD1303"/>
    <w:rsid w:val="00CD1AE5"/>
    <w:rsid w:val="00CD1E08"/>
    <w:rsid w:val="00CD4064"/>
    <w:rsid w:val="00CD4791"/>
    <w:rsid w:val="00CD4BBD"/>
    <w:rsid w:val="00CD4E14"/>
    <w:rsid w:val="00CD545D"/>
    <w:rsid w:val="00CD68F5"/>
    <w:rsid w:val="00CD763C"/>
    <w:rsid w:val="00CE09B8"/>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C18"/>
    <w:rsid w:val="00CF210A"/>
    <w:rsid w:val="00CF4E87"/>
    <w:rsid w:val="00CF5013"/>
    <w:rsid w:val="00CF5642"/>
    <w:rsid w:val="00CF6C34"/>
    <w:rsid w:val="00CF6CA4"/>
    <w:rsid w:val="00CF6FBE"/>
    <w:rsid w:val="00CF700B"/>
    <w:rsid w:val="00D00D0F"/>
    <w:rsid w:val="00D02C5F"/>
    <w:rsid w:val="00D02D69"/>
    <w:rsid w:val="00D05592"/>
    <w:rsid w:val="00D057E3"/>
    <w:rsid w:val="00D05E50"/>
    <w:rsid w:val="00D0729B"/>
    <w:rsid w:val="00D07389"/>
    <w:rsid w:val="00D10487"/>
    <w:rsid w:val="00D11D0F"/>
    <w:rsid w:val="00D12239"/>
    <w:rsid w:val="00D12C14"/>
    <w:rsid w:val="00D14327"/>
    <w:rsid w:val="00D14371"/>
    <w:rsid w:val="00D14E28"/>
    <w:rsid w:val="00D14F68"/>
    <w:rsid w:val="00D1521F"/>
    <w:rsid w:val="00D157A1"/>
    <w:rsid w:val="00D1601D"/>
    <w:rsid w:val="00D1605D"/>
    <w:rsid w:val="00D1729C"/>
    <w:rsid w:val="00D178EB"/>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6BE"/>
    <w:rsid w:val="00D31F55"/>
    <w:rsid w:val="00D321F6"/>
    <w:rsid w:val="00D3258A"/>
    <w:rsid w:val="00D3266E"/>
    <w:rsid w:val="00D327D6"/>
    <w:rsid w:val="00D32EE9"/>
    <w:rsid w:val="00D35132"/>
    <w:rsid w:val="00D35481"/>
    <w:rsid w:val="00D3583C"/>
    <w:rsid w:val="00D35B64"/>
    <w:rsid w:val="00D35C31"/>
    <w:rsid w:val="00D35CEC"/>
    <w:rsid w:val="00D36382"/>
    <w:rsid w:val="00D366C0"/>
    <w:rsid w:val="00D36957"/>
    <w:rsid w:val="00D36A85"/>
    <w:rsid w:val="00D36E19"/>
    <w:rsid w:val="00D37F3C"/>
    <w:rsid w:val="00D40240"/>
    <w:rsid w:val="00D403A4"/>
    <w:rsid w:val="00D40751"/>
    <w:rsid w:val="00D41136"/>
    <w:rsid w:val="00D4157F"/>
    <w:rsid w:val="00D41DC7"/>
    <w:rsid w:val="00D42D17"/>
    <w:rsid w:val="00D45673"/>
    <w:rsid w:val="00D46119"/>
    <w:rsid w:val="00D47309"/>
    <w:rsid w:val="00D4734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25F8"/>
    <w:rsid w:val="00D626A1"/>
    <w:rsid w:val="00D626F0"/>
    <w:rsid w:val="00D62987"/>
    <w:rsid w:val="00D64712"/>
    <w:rsid w:val="00D6501E"/>
    <w:rsid w:val="00D650C6"/>
    <w:rsid w:val="00D650DD"/>
    <w:rsid w:val="00D656C8"/>
    <w:rsid w:val="00D66874"/>
    <w:rsid w:val="00D679ED"/>
    <w:rsid w:val="00D700B3"/>
    <w:rsid w:val="00D70682"/>
    <w:rsid w:val="00D708ED"/>
    <w:rsid w:val="00D70AAA"/>
    <w:rsid w:val="00D71903"/>
    <w:rsid w:val="00D71987"/>
    <w:rsid w:val="00D72B1B"/>
    <w:rsid w:val="00D73101"/>
    <w:rsid w:val="00D73E60"/>
    <w:rsid w:val="00D74424"/>
    <w:rsid w:val="00D74E3F"/>
    <w:rsid w:val="00D75074"/>
    <w:rsid w:val="00D75176"/>
    <w:rsid w:val="00D76319"/>
    <w:rsid w:val="00D763D2"/>
    <w:rsid w:val="00D765D7"/>
    <w:rsid w:val="00D77067"/>
    <w:rsid w:val="00D8041C"/>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5432"/>
    <w:rsid w:val="00D960F5"/>
    <w:rsid w:val="00D9658F"/>
    <w:rsid w:val="00D969D2"/>
    <w:rsid w:val="00D96BEF"/>
    <w:rsid w:val="00D977DF"/>
    <w:rsid w:val="00DA0773"/>
    <w:rsid w:val="00DA089B"/>
    <w:rsid w:val="00DA08F5"/>
    <w:rsid w:val="00DA0D2A"/>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3077"/>
    <w:rsid w:val="00DB35B7"/>
    <w:rsid w:val="00DB3859"/>
    <w:rsid w:val="00DB3D06"/>
    <w:rsid w:val="00DB3DAF"/>
    <w:rsid w:val="00DB4184"/>
    <w:rsid w:val="00DB5595"/>
    <w:rsid w:val="00DB562F"/>
    <w:rsid w:val="00DB5D32"/>
    <w:rsid w:val="00DB60EF"/>
    <w:rsid w:val="00DB6E9C"/>
    <w:rsid w:val="00DB743E"/>
    <w:rsid w:val="00DB75C9"/>
    <w:rsid w:val="00DB7BFF"/>
    <w:rsid w:val="00DB7CD3"/>
    <w:rsid w:val="00DB7F21"/>
    <w:rsid w:val="00DC0149"/>
    <w:rsid w:val="00DC0D4C"/>
    <w:rsid w:val="00DC2FF8"/>
    <w:rsid w:val="00DC32C3"/>
    <w:rsid w:val="00DC3566"/>
    <w:rsid w:val="00DC4340"/>
    <w:rsid w:val="00DC54C5"/>
    <w:rsid w:val="00DC5D7B"/>
    <w:rsid w:val="00DC62D7"/>
    <w:rsid w:val="00DC6360"/>
    <w:rsid w:val="00DC6771"/>
    <w:rsid w:val="00DC6C77"/>
    <w:rsid w:val="00DC7253"/>
    <w:rsid w:val="00DC7896"/>
    <w:rsid w:val="00DC7ACB"/>
    <w:rsid w:val="00DC7E67"/>
    <w:rsid w:val="00DD00B1"/>
    <w:rsid w:val="00DD077C"/>
    <w:rsid w:val="00DD13EB"/>
    <w:rsid w:val="00DD159E"/>
    <w:rsid w:val="00DD2C3C"/>
    <w:rsid w:val="00DD2D5A"/>
    <w:rsid w:val="00DD32DA"/>
    <w:rsid w:val="00DD3A8E"/>
    <w:rsid w:val="00DD4844"/>
    <w:rsid w:val="00DD5426"/>
    <w:rsid w:val="00DD61AC"/>
    <w:rsid w:val="00DD708C"/>
    <w:rsid w:val="00DD7E2D"/>
    <w:rsid w:val="00DE06F5"/>
    <w:rsid w:val="00DE0C7F"/>
    <w:rsid w:val="00DE0DA1"/>
    <w:rsid w:val="00DE1A7D"/>
    <w:rsid w:val="00DE1DBE"/>
    <w:rsid w:val="00DE2090"/>
    <w:rsid w:val="00DE2D4D"/>
    <w:rsid w:val="00DE2FF1"/>
    <w:rsid w:val="00DE3E00"/>
    <w:rsid w:val="00DE4482"/>
    <w:rsid w:val="00DE4768"/>
    <w:rsid w:val="00DE4CA9"/>
    <w:rsid w:val="00DE4F69"/>
    <w:rsid w:val="00DE5C17"/>
    <w:rsid w:val="00DE5DA3"/>
    <w:rsid w:val="00DE5E3B"/>
    <w:rsid w:val="00DE6809"/>
    <w:rsid w:val="00DE73E9"/>
    <w:rsid w:val="00DE7BBB"/>
    <w:rsid w:val="00DF2054"/>
    <w:rsid w:val="00DF20A9"/>
    <w:rsid w:val="00DF2F2E"/>
    <w:rsid w:val="00DF33F7"/>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14E2"/>
    <w:rsid w:val="00E119B7"/>
    <w:rsid w:val="00E1224A"/>
    <w:rsid w:val="00E12291"/>
    <w:rsid w:val="00E130DD"/>
    <w:rsid w:val="00E133B7"/>
    <w:rsid w:val="00E137B6"/>
    <w:rsid w:val="00E14245"/>
    <w:rsid w:val="00E14A40"/>
    <w:rsid w:val="00E14F48"/>
    <w:rsid w:val="00E14F89"/>
    <w:rsid w:val="00E21907"/>
    <w:rsid w:val="00E21F03"/>
    <w:rsid w:val="00E22866"/>
    <w:rsid w:val="00E2344C"/>
    <w:rsid w:val="00E23DF5"/>
    <w:rsid w:val="00E247B9"/>
    <w:rsid w:val="00E24C67"/>
    <w:rsid w:val="00E24EDC"/>
    <w:rsid w:val="00E26D75"/>
    <w:rsid w:val="00E27935"/>
    <w:rsid w:val="00E27D21"/>
    <w:rsid w:val="00E301C0"/>
    <w:rsid w:val="00E302F7"/>
    <w:rsid w:val="00E31082"/>
    <w:rsid w:val="00E31E66"/>
    <w:rsid w:val="00E31FD3"/>
    <w:rsid w:val="00E32079"/>
    <w:rsid w:val="00E32184"/>
    <w:rsid w:val="00E32E3A"/>
    <w:rsid w:val="00E332DA"/>
    <w:rsid w:val="00E34ADB"/>
    <w:rsid w:val="00E34B66"/>
    <w:rsid w:val="00E34DFD"/>
    <w:rsid w:val="00E352BB"/>
    <w:rsid w:val="00E36C6E"/>
    <w:rsid w:val="00E40883"/>
    <w:rsid w:val="00E413BB"/>
    <w:rsid w:val="00E41712"/>
    <w:rsid w:val="00E424E1"/>
    <w:rsid w:val="00E4262D"/>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3555"/>
    <w:rsid w:val="00E53736"/>
    <w:rsid w:val="00E53E3D"/>
    <w:rsid w:val="00E55527"/>
    <w:rsid w:val="00E56063"/>
    <w:rsid w:val="00E56A2B"/>
    <w:rsid w:val="00E5770F"/>
    <w:rsid w:val="00E57B32"/>
    <w:rsid w:val="00E60E15"/>
    <w:rsid w:val="00E614B7"/>
    <w:rsid w:val="00E6240A"/>
    <w:rsid w:val="00E62BD4"/>
    <w:rsid w:val="00E63C59"/>
    <w:rsid w:val="00E64DCC"/>
    <w:rsid w:val="00E654F1"/>
    <w:rsid w:val="00E65A15"/>
    <w:rsid w:val="00E65E9C"/>
    <w:rsid w:val="00E66004"/>
    <w:rsid w:val="00E661BF"/>
    <w:rsid w:val="00E667DC"/>
    <w:rsid w:val="00E66EF1"/>
    <w:rsid w:val="00E6794D"/>
    <w:rsid w:val="00E70B0E"/>
    <w:rsid w:val="00E70CF1"/>
    <w:rsid w:val="00E70F90"/>
    <w:rsid w:val="00E717FD"/>
    <w:rsid w:val="00E71868"/>
    <w:rsid w:val="00E72B9A"/>
    <w:rsid w:val="00E730C5"/>
    <w:rsid w:val="00E737CD"/>
    <w:rsid w:val="00E73B2E"/>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656"/>
    <w:rsid w:val="00E91B3B"/>
    <w:rsid w:val="00E91D1F"/>
    <w:rsid w:val="00E928B1"/>
    <w:rsid w:val="00E92AD3"/>
    <w:rsid w:val="00E92C63"/>
    <w:rsid w:val="00E95706"/>
    <w:rsid w:val="00E96264"/>
    <w:rsid w:val="00E96CA7"/>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554C"/>
    <w:rsid w:val="00EA5A5B"/>
    <w:rsid w:val="00EA6587"/>
    <w:rsid w:val="00EA6CD3"/>
    <w:rsid w:val="00EA747C"/>
    <w:rsid w:val="00EB0375"/>
    <w:rsid w:val="00EB1A3A"/>
    <w:rsid w:val="00EB1CAA"/>
    <w:rsid w:val="00EB36D5"/>
    <w:rsid w:val="00EB3F6A"/>
    <w:rsid w:val="00EB4F57"/>
    <w:rsid w:val="00EB6F64"/>
    <w:rsid w:val="00EB7F27"/>
    <w:rsid w:val="00EC0C96"/>
    <w:rsid w:val="00EC0F05"/>
    <w:rsid w:val="00EC138D"/>
    <w:rsid w:val="00EC16AB"/>
    <w:rsid w:val="00EC18FB"/>
    <w:rsid w:val="00EC1B5B"/>
    <w:rsid w:val="00EC35A5"/>
    <w:rsid w:val="00EC4B9F"/>
    <w:rsid w:val="00EC6ACA"/>
    <w:rsid w:val="00EC6BD0"/>
    <w:rsid w:val="00EC7613"/>
    <w:rsid w:val="00ED20E0"/>
    <w:rsid w:val="00ED22DF"/>
    <w:rsid w:val="00ED4782"/>
    <w:rsid w:val="00ED4867"/>
    <w:rsid w:val="00ED489B"/>
    <w:rsid w:val="00ED60E7"/>
    <w:rsid w:val="00ED65F6"/>
    <w:rsid w:val="00ED6E54"/>
    <w:rsid w:val="00ED709B"/>
    <w:rsid w:val="00ED72FA"/>
    <w:rsid w:val="00ED73AC"/>
    <w:rsid w:val="00ED7404"/>
    <w:rsid w:val="00ED7665"/>
    <w:rsid w:val="00ED771D"/>
    <w:rsid w:val="00EE10A5"/>
    <w:rsid w:val="00EE172F"/>
    <w:rsid w:val="00EE1AA7"/>
    <w:rsid w:val="00EE3A9C"/>
    <w:rsid w:val="00EE45B9"/>
    <w:rsid w:val="00EE4A7F"/>
    <w:rsid w:val="00EE4E88"/>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396"/>
    <w:rsid w:val="00EF63EC"/>
    <w:rsid w:val="00EF6419"/>
    <w:rsid w:val="00EF6423"/>
    <w:rsid w:val="00EF67BF"/>
    <w:rsid w:val="00EF6860"/>
    <w:rsid w:val="00EF696D"/>
    <w:rsid w:val="00EF74F3"/>
    <w:rsid w:val="00EF76C3"/>
    <w:rsid w:val="00EF7A26"/>
    <w:rsid w:val="00EF7F41"/>
    <w:rsid w:val="00F006DB"/>
    <w:rsid w:val="00F0238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E05"/>
    <w:rsid w:val="00F1066D"/>
    <w:rsid w:val="00F106DA"/>
    <w:rsid w:val="00F10C25"/>
    <w:rsid w:val="00F10D88"/>
    <w:rsid w:val="00F10DEA"/>
    <w:rsid w:val="00F1218E"/>
    <w:rsid w:val="00F13FCF"/>
    <w:rsid w:val="00F14BF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336B"/>
    <w:rsid w:val="00F234D2"/>
    <w:rsid w:val="00F23722"/>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4784"/>
    <w:rsid w:val="00F452DF"/>
    <w:rsid w:val="00F45AD2"/>
    <w:rsid w:val="00F464EA"/>
    <w:rsid w:val="00F46D60"/>
    <w:rsid w:val="00F474F1"/>
    <w:rsid w:val="00F475C9"/>
    <w:rsid w:val="00F47D39"/>
    <w:rsid w:val="00F5002A"/>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3FA4"/>
    <w:rsid w:val="00F84263"/>
    <w:rsid w:val="00F84655"/>
    <w:rsid w:val="00F847BC"/>
    <w:rsid w:val="00F84865"/>
    <w:rsid w:val="00F85280"/>
    <w:rsid w:val="00F854B0"/>
    <w:rsid w:val="00F857E8"/>
    <w:rsid w:val="00F85FF0"/>
    <w:rsid w:val="00F86357"/>
    <w:rsid w:val="00F8635A"/>
    <w:rsid w:val="00F865A3"/>
    <w:rsid w:val="00F86635"/>
    <w:rsid w:val="00F869BE"/>
    <w:rsid w:val="00F876AE"/>
    <w:rsid w:val="00F879C9"/>
    <w:rsid w:val="00F87ABC"/>
    <w:rsid w:val="00F90621"/>
    <w:rsid w:val="00F912B3"/>
    <w:rsid w:val="00F91470"/>
    <w:rsid w:val="00F91502"/>
    <w:rsid w:val="00F91FD9"/>
    <w:rsid w:val="00F92641"/>
    <w:rsid w:val="00F92DD2"/>
    <w:rsid w:val="00F9367E"/>
    <w:rsid w:val="00F93A1E"/>
    <w:rsid w:val="00F94D8D"/>
    <w:rsid w:val="00F96D4C"/>
    <w:rsid w:val="00F970BA"/>
    <w:rsid w:val="00F972B3"/>
    <w:rsid w:val="00F976D6"/>
    <w:rsid w:val="00F97A37"/>
    <w:rsid w:val="00FA0901"/>
    <w:rsid w:val="00FA27EB"/>
    <w:rsid w:val="00FA2ED4"/>
    <w:rsid w:val="00FA34D5"/>
    <w:rsid w:val="00FA3856"/>
    <w:rsid w:val="00FA400D"/>
    <w:rsid w:val="00FA49E4"/>
    <w:rsid w:val="00FA4AE2"/>
    <w:rsid w:val="00FA547E"/>
    <w:rsid w:val="00FA58CB"/>
    <w:rsid w:val="00FA5B12"/>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778E"/>
    <w:rsid w:val="00FB7BE7"/>
    <w:rsid w:val="00FB7E0B"/>
    <w:rsid w:val="00FC0A46"/>
    <w:rsid w:val="00FC14AA"/>
    <w:rsid w:val="00FC16FC"/>
    <w:rsid w:val="00FC1D53"/>
    <w:rsid w:val="00FC2996"/>
    <w:rsid w:val="00FC3810"/>
    <w:rsid w:val="00FC3D97"/>
    <w:rsid w:val="00FC3FE7"/>
    <w:rsid w:val="00FC407A"/>
    <w:rsid w:val="00FC4D74"/>
    <w:rsid w:val="00FC59D2"/>
    <w:rsid w:val="00FC5AC6"/>
    <w:rsid w:val="00FC5F25"/>
    <w:rsid w:val="00FC61E1"/>
    <w:rsid w:val="00FC7388"/>
    <w:rsid w:val="00FC7592"/>
    <w:rsid w:val="00FC7A86"/>
    <w:rsid w:val="00FD0857"/>
    <w:rsid w:val="00FD0B1F"/>
    <w:rsid w:val="00FD276C"/>
    <w:rsid w:val="00FD3A25"/>
    <w:rsid w:val="00FD3E68"/>
    <w:rsid w:val="00FD42CC"/>
    <w:rsid w:val="00FD48BC"/>
    <w:rsid w:val="00FD4B36"/>
    <w:rsid w:val="00FD79BD"/>
    <w:rsid w:val="00FD7A7B"/>
    <w:rsid w:val="00FD7B5B"/>
    <w:rsid w:val="00FD7D6A"/>
    <w:rsid w:val="00FD7FD0"/>
    <w:rsid w:val="00FE0BDC"/>
    <w:rsid w:val="00FE0C4C"/>
    <w:rsid w:val="00FE11EB"/>
    <w:rsid w:val="00FE1F3F"/>
    <w:rsid w:val="00FE23BF"/>
    <w:rsid w:val="00FE35CC"/>
    <w:rsid w:val="00FE3D04"/>
    <w:rsid w:val="00FE3DA0"/>
    <w:rsid w:val="00FE4B58"/>
    <w:rsid w:val="00FE5A70"/>
    <w:rsid w:val="00FE6D7C"/>
    <w:rsid w:val="00FE6E67"/>
    <w:rsid w:val="00FE73C2"/>
    <w:rsid w:val="00FF03A9"/>
    <w:rsid w:val="00FF0C34"/>
    <w:rsid w:val="00FF117F"/>
    <w:rsid w:val="00FF1358"/>
    <w:rsid w:val="00FF1822"/>
    <w:rsid w:val="00FF2771"/>
    <w:rsid w:val="00FF2822"/>
    <w:rsid w:val="00FF2D9C"/>
    <w:rsid w:val="00FF30D1"/>
    <w:rsid w:val="00FF4A3F"/>
    <w:rsid w:val="00FF4F4B"/>
    <w:rsid w:val="00FF4FA7"/>
    <w:rsid w:val="00FF53EC"/>
    <w:rsid w:val="00FF7443"/>
    <w:rsid w:val="00FF7471"/>
    <w:rsid w:val="00FF7FB6"/>
    <w:rsid w:val="02B09F6F"/>
    <w:rsid w:val="041D5754"/>
    <w:rsid w:val="042794BE"/>
    <w:rsid w:val="06647003"/>
    <w:rsid w:val="0734D44B"/>
    <w:rsid w:val="07AEBBF6"/>
    <w:rsid w:val="0A8EB37D"/>
    <w:rsid w:val="0AB5E2F6"/>
    <w:rsid w:val="0BC1D7FF"/>
    <w:rsid w:val="0CF5CBFF"/>
    <w:rsid w:val="0D551428"/>
    <w:rsid w:val="0D9D0F24"/>
    <w:rsid w:val="0EC329A3"/>
    <w:rsid w:val="10B1ED9D"/>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46E481C"/>
    <w:rsid w:val="26C5C181"/>
    <w:rsid w:val="27D5C4C1"/>
    <w:rsid w:val="283FC117"/>
    <w:rsid w:val="28A5C819"/>
    <w:rsid w:val="28C9B4E7"/>
    <w:rsid w:val="298CD048"/>
    <w:rsid w:val="29D9CB10"/>
    <w:rsid w:val="2A06BA20"/>
    <w:rsid w:val="2C2E352D"/>
    <w:rsid w:val="2EDE68EE"/>
    <w:rsid w:val="33DCFB9F"/>
    <w:rsid w:val="366B4C20"/>
    <w:rsid w:val="367C739F"/>
    <w:rsid w:val="36B9CCA8"/>
    <w:rsid w:val="370719CC"/>
    <w:rsid w:val="3852263B"/>
    <w:rsid w:val="3CA7EC39"/>
    <w:rsid w:val="3CE96B68"/>
    <w:rsid w:val="40EE166A"/>
    <w:rsid w:val="4134F725"/>
    <w:rsid w:val="41581128"/>
    <w:rsid w:val="4268955F"/>
    <w:rsid w:val="42E27F4A"/>
    <w:rsid w:val="49F2467F"/>
    <w:rsid w:val="4B36F1ED"/>
    <w:rsid w:val="4D3A0645"/>
    <w:rsid w:val="54D3DC7D"/>
    <w:rsid w:val="5D817EB2"/>
    <w:rsid w:val="60C4F4A6"/>
    <w:rsid w:val="61078DB5"/>
    <w:rsid w:val="63714707"/>
    <w:rsid w:val="637AD4AC"/>
    <w:rsid w:val="666DE8E5"/>
    <w:rsid w:val="6A2CB59D"/>
    <w:rsid w:val="6E17F8DB"/>
    <w:rsid w:val="6F5981A9"/>
    <w:rsid w:val="70273861"/>
    <w:rsid w:val="7148F4F5"/>
    <w:rsid w:val="721D1437"/>
    <w:rsid w:val="7643C8D6"/>
    <w:rsid w:val="7653558B"/>
    <w:rsid w:val="76F92839"/>
    <w:rsid w:val="7739859F"/>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BFCCD79-2576-42E8-B7F2-E7A5964D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0913E53C-F5E8-4085-9AE3-B94B5A9D8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11</Pages>
  <Words>4406</Words>
  <Characters>25116</Characters>
  <Application>Microsoft Office Word</Application>
  <DocSecurity>0</DocSecurity>
  <Lines>209</Lines>
  <Paragraphs>58</Paragraphs>
  <ScaleCrop>false</ScaleCrop>
  <Company>ETSI Sophia Antipolis</Company>
  <LinksUpToDate>false</LinksUpToDate>
  <CharactersWithSpaces>29464</CharactersWithSpaces>
  <SharedDoc>false</SharedDoc>
  <HLinks>
    <vt:vector size="96" baseType="variant">
      <vt:variant>
        <vt:i4>1376313</vt:i4>
      </vt:variant>
      <vt:variant>
        <vt:i4>152</vt:i4>
      </vt:variant>
      <vt:variant>
        <vt:i4>0</vt:i4>
      </vt:variant>
      <vt:variant>
        <vt:i4>5</vt:i4>
      </vt:variant>
      <vt:variant>
        <vt:lpwstr/>
      </vt:variant>
      <vt:variant>
        <vt:lpwstr>_Toc118724202</vt:lpwstr>
      </vt:variant>
      <vt:variant>
        <vt:i4>1376313</vt:i4>
      </vt:variant>
      <vt:variant>
        <vt:i4>149</vt:i4>
      </vt:variant>
      <vt:variant>
        <vt:i4>0</vt:i4>
      </vt:variant>
      <vt:variant>
        <vt:i4>5</vt:i4>
      </vt:variant>
      <vt:variant>
        <vt:lpwstr/>
      </vt:variant>
      <vt:variant>
        <vt:lpwstr>_Toc118724201</vt:lpwstr>
      </vt:variant>
      <vt:variant>
        <vt:i4>1376313</vt:i4>
      </vt:variant>
      <vt:variant>
        <vt:i4>146</vt:i4>
      </vt:variant>
      <vt:variant>
        <vt:i4>0</vt:i4>
      </vt:variant>
      <vt:variant>
        <vt:i4>5</vt:i4>
      </vt:variant>
      <vt:variant>
        <vt:lpwstr/>
      </vt:variant>
      <vt:variant>
        <vt:lpwstr>_Toc118724200</vt:lpwstr>
      </vt:variant>
      <vt:variant>
        <vt:i4>1835066</vt:i4>
      </vt:variant>
      <vt:variant>
        <vt:i4>143</vt:i4>
      </vt:variant>
      <vt:variant>
        <vt:i4>0</vt:i4>
      </vt:variant>
      <vt:variant>
        <vt:i4>5</vt:i4>
      </vt:variant>
      <vt:variant>
        <vt:lpwstr/>
      </vt:variant>
      <vt:variant>
        <vt:lpwstr>_Toc118724199</vt:lpwstr>
      </vt:variant>
      <vt:variant>
        <vt:i4>1835066</vt:i4>
      </vt:variant>
      <vt:variant>
        <vt:i4>140</vt:i4>
      </vt:variant>
      <vt:variant>
        <vt:i4>0</vt:i4>
      </vt:variant>
      <vt:variant>
        <vt:i4>5</vt:i4>
      </vt:variant>
      <vt:variant>
        <vt:lpwstr/>
      </vt:variant>
      <vt:variant>
        <vt:lpwstr>_Toc118724198</vt:lpwstr>
      </vt:variant>
      <vt:variant>
        <vt:i4>1835066</vt:i4>
      </vt:variant>
      <vt:variant>
        <vt:i4>137</vt:i4>
      </vt:variant>
      <vt:variant>
        <vt:i4>0</vt:i4>
      </vt:variant>
      <vt:variant>
        <vt:i4>5</vt:i4>
      </vt:variant>
      <vt:variant>
        <vt:lpwstr/>
      </vt:variant>
      <vt:variant>
        <vt:lpwstr>_Toc118724197</vt:lpwstr>
      </vt:variant>
      <vt:variant>
        <vt:i4>1835066</vt:i4>
      </vt:variant>
      <vt:variant>
        <vt:i4>134</vt:i4>
      </vt:variant>
      <vt:variant>
        <vt:i4>0</vt:i4>
      </vt:variant>
      <vt:variant>
        <vt:i4>5</vt:i4>
      </vt:variant>
      <vt:variant>
        <vt:lpwstr/>
      </vt:variant>
      <vt:variant>
        <vt:lpwstr>_Toc118724196</vt:lpwstr>
      </vt:variant>
      <vt:variant>
        <vt:i4>1835066</vt:i4>
      </vt:variant>
      <vt:variant>
        <vt:i4>131</vt:i4>
      </vt:variant>
      <vt:variant>
        <vt:i4>0</vt:i4>
      </vt:variant>
      <vt:variant>
        <vt:i4>5</vt:i4>
      </vt:variant>
      <vt:variant>
        <vt:lpwstr/>
      </vt:variant>
      <vt:variant>
        <vt:lpwstr>_Toc118724195</vt:lpwstr>
      </vt:variant>
      <vt:variant>
        <vt:i4>1835066</vt:i4>
      </vt:variant>
      <vt:variant>
        <vt:i4>128</vt:i4>
      </vt:variant>
      <vt:variant>
        <vt:i4>0</vt:i4>
      </vt:variant>
      <vt:variant>
        <vt:i4>5</vt:i4>
      </vt:variant>
      <vt:variant>
        <vt:lpwstr/>
      </vt:variant>
      <vt:variant>
        <vt:lpwstr>_Toc118724194</vt:lpwstr>
      </vt:variant>
      <vt:variant>
        <vt:i4>1835066</vt:i4>
      </vt:variant>
      <vt:variant>
        <vt:i4>125</vt:i4>
      </vt:variant>
      <vt:variant>
        <vt:i4>0</vt:i4>
      </vt:variant>
      <vt:variant>
        <vt:i4>5</vt:i4>
      </vt:variant>
      <vt:variant>
        <vt:lpwstr/>
      </vt:variant>
      <vt:variant>
        <vt:lpwstr>_Toc118724193</vt:lpwstr>
      </vt:variant>
      <vt:variant>
        <vt:i4>1835066</vt:i4>
      </vt:variant>
      <vt:variant>
        <vt:i4>122</vt:i4>
      </vt:variant>
      <vt:variant>
        <vt:i4>0</vt:i4>
      </vt:variant>
      <vt:variant>
        <vt:i4>5</vt:i4>
      </vt:variant>
      <vt:variant>
        <vt:lpwstr/>
      </vt:variant>
      <vt:variant>
        <vt:lpwstr>_Toc118724192</vt:lpwstr>
      </vt:variant>
      <vt:variant>
        <vt:i4>1835066</vt:i4>
      </vt:variant>
      <vt:variant>
        <vt:i4>119</vt:i4>
      </vt:variant>
      <vt:variant>
        <vt:i4>0</vt:i4>
      </vt:variant>
      <vt:variant>
        <vt:i4>5</vt:i4>
      </vt:variant>
      <vt:variant>
        <vt:lpwstr/>
      </vt:variant>
      <vt:variant>
        <vt:lpwstr>_Toc118724191</vt:lpwstr>
      </vt:variant>
      <vt:variant>
        <vt:i4>1835066</vt:i4>
      </vt:variant>
      <vt:variant>
        <vt:i4>116</vt:i4>
      </vt:variant>
      <vt:variant>
        <vt:i4>0</vt:i4>
      </vt:variant>
      <vt:variant>
        <vt:i4>5</vt:i4>
      </vt:variant>
      <vt:variant>
        <vt:lpwstr/>
      </vt:variant>
      <vt:variant>
        <vt:lpwstr>_Toc118724190</vt:lpwstr>
      </vt:variant>
      <vt:variant>
        <vt:i4>1900602</vt:i4>
      </vt:variant>
      <vt:variant>
        <vt:i4>113</vt:i4>
      </vt:variant>
      <vt:variant>
        <vt:i4>0</vt:i4>
      </vt:variant>
      <vt:variant>
        <vt:i4>5</vt:i4>
      </vt:variant>
      <vt:variant>
        <vt:lpwstr/>
      </vt:variant>
      <vt:variant>
        <vt:lpwstr>_Toc118724189</vt:lpwstr>
      </vt:variant>
      <vt:variant>
        <vt:i4>1900602</vt:i4>
      </vt:variant>
      <vt:variant>
        <vt:i4>110</vt:i4>
      </vt:variant>
      <vt:variant>
        <vt:i4>0</vt:i4>
      </vt:variant>
      <vt:variant>
        <vt:i4>5</vt:i4>
      </vt:variant>
      <vt:variant>
        <vt:lpwstr/>
      </vt:variant>
      <vt:variant>
        <vt:lpwstr>_Toc118724188</vt:lpwstr>
      </vt:variant>
      <vt:variant>
        <vt:i4>1441847</vt:i4>
      </vt:variant>
      <vt:variant>
        <vt:i4>104</vt:i4>
      </vt:variant>
      <vt:variant>
        <vt:i4>0</vt:i4>
      </vt:variant>
      <vt:variant>
        <vt:i4>5</vt:i4>
      </vt:variant>
      <vt:variant>
        <vt:lpwstr/>
      </vt:variant>
      <vt:variant>
        <vt:lpwstr>_Toc115427132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570</cp:revision>
  <cp:lastPrinted>2022-11-07T22:27:00Z</cp:lastPrinted>
  <dcterms:created xsi:type="dcterms:W3CDTF">2022-05-01T04:54:00Z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